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8"/>
        <w:spacing w:before="1872" w:beforeLines="0" w:line="360" w:lineRule="auto"/>
        <w:ind w:firstLine="0" w:firstLineChars="0"/>
        <w:jc w:val="center"/>
        <w:rPr>
          <w:rFonts w:hint="eastAsia" w:ascii="宋体" w:hAnsi="宋体" w:eastAsia="宋体" w:cs="宋体"/>
          <w:b/>
          <w:bCs w:val="0"/>
          <w:color w:val="000000" w:themeColor="text1"/>
          <w:sz w:val="24"/>
          <w:highlight w:val="none"/>
          <w:u w:val="single"/>
          <w:lang w:eastAsia="zh-CN"/>
          <w14:textFill>
            <w14:solidFill>
              <w14:schemeClr w14:val="tx1"/>
            </w14:solidFill>
          </w14:textFill>
        </w:rPr>
      </w:pPr>
      <w:bookmarkStart w:id="0" w:name="_Toc34431255"/>
      <w:r>
        <w:rPr>
          <w:rFonts w:hint="eastAsia" w:ascii="宋体" w:hAnsi="宋体" w:cs="宋体"/>
          <w:b/>
          <w:bCs w:val="0"/>
          <w:color w:val="000000" w:themeColor="text1"/>
          <w:kern w:val="2"/>
          <w:sz w:val="48"/>
          <w:szCs w:val="48"/>
          <w:highlight w:val="none"/>
          <w:lang w:val="en-US" w:eastAsia="zh-CN"/>
          <w14:textFill>
            <w14:solidFill>
              <w14:schemeClr w14:val="tx1"/>
            </w14:solidFill>
          </w14:textFill>
        </w:rPr>
        <w:t>立新</w:t>
      </w:r>
      <w:r>
        <w:rPr>
          <w:rFonts w:hint="eastAsia" w:ascii="宋体" w:hAnsi="宋体" w:cs="宋体"/>
          <w:b/>
          <w:bCs w:val="0"/>
          <w:color w:val="000000" w:themeColor="text1"/>
          <w:kern w:val="2"/>
          <w:sz w:val="48"/>
          <w:szCs w:val="48"/>
          <w:highlight w:val="none"/>
          <w:lang w:eastAsia="zh-CN"/>
          <w14:textFill>
            <w14:solidFill>
              <w14:schemeClr w14:val="tx1"/>
            </w14:solidFill>
          </w14:textFill>
        </w:rPr>
        <w:t>社区微改造项目检测服务</w:t>
      </w:r>
    </w:p>
    <w:p>
      <w:pPr>
        <w:pStyle w:val="38"/>
        <w:spacing w:line="360" w:lineRule="auto"/>
        <w:ind w:firstLine="480" w:firstLineChars="200"/>
        <w:jc w:val="left"/>
        <w:rPr>
          <w:rFonts w:ascii="宋体" w:hAnsi="宋体" w:cs="宋体"/>
          <w:b w:val="0"/>
          <w:bCs w:val="0"/>
          <w:color w:val="000000" w:themeColor="text1"/>
          <w:sz w:val="24"/>
          <w:highlight w:val="none"/>
          <w:u w:val="single"/>
          <w14:textFill>
            <w14:solidFill>
              <w14:schemeClr w14:val="tx1"/>
            </w14:solidFill>
          </w14:textFill>
        </w:rPr>
      </w:pPr>
    </w:p>
    <w:p>
      <w:pPr>
        <w:pStyle w:val="38"/>
        <w:spacing w:line="360" w:lineRule="auto"/>
        <w:ind w:firstLine="480" w:firstLineChars="200"/>
        <w:jc w:val="left"/>
        <w:rPr>
          <w:rFonts w:ascii="宋体" w:hAnsi="宋体" w:cs="宋体"/>
          <w:b w:val="0"/>
          <w:bCs w:val="0"/>
          <w:color w:val="000000" w:themeColor="text1"/>
          <w:sz w:val="24"/>
          <w:highlight w:val="none"/>
          <w:u w:val="single"/>
          <w14:textFill>
            <w14:solidFill>
              <w14:schemeClr w14:val="tx1"/>
            </w14:solidFill>
          </w14:textFill>
        </w:rPr>
      </w:pPr>
    </w:p>
    <w:p>
      <w:pPr>
        <w:pStyle w:val="38"/>
        <w:spacing w:line="360" w:lineRule="auto"/>
        <w:ind w:firstLine="480" w:firstLineChars="200"/>
        <w:jc w:val="left"/>
        <w:rPr>
          <w:rFonts w:ascii="宋体" w:hAnsi="宋体" w:cs="宋体"/>
          <w:b w:val="0"/>
          <w:bCs w:val="0"/>
          <w:color w:val="000000" w:themeColor="text1"/>
          <w:sz w:val="24"/>
          <w:highlight w:val="none"/>
          <w:u w:val="single"/>
          <w14:textFill>
            <w14:solidFill>
              <w14:schemeClr w14:val="tx1"/>
            </w14:solidFill>
          </w14:textFill>
        </w:rPr>
      </w:pPr>
    </w:p>
    <w:p>
      <w:pPr>
        <w:pStyle w:val="38"/>
        <w:spacing w:line="360" w:lineRule="auto"/>
        <w:ind w:firstLine="480" w:firstLineChars="200"/>
        <w:jc w:val="left"/>
        <w:rPr>
          <w:rFonts w:ascii="宋体" w:hAnsi="宋体" w:cs="宋体"/>
          <w:b w:val="0"/>
          <w:bCs w:val="0"/>
          <w:color w:val="000000" w:themeColor="text1"/>
          <w:sz w:val="24"/>
          <w:highlight w:val="none"/>
          <w:u w:val="single"/>
          <w14:textFill>
            <w14:solidFill>
              <w14:schemeClr w14:val="tx1"/>
            </w14:solidFill>
          </w14:textFill>
        </w:rPr>
      </w:pPr>
    </w:p>
    <w:p>
      <w:pPr>
        <w:pStyle w:val="38"/>
        <w:spacing w:afterLines="0" w:line="360" w:lineRule="auto"/>
        <w:ind w:firstLine="480" w:firstLineChars="200"/>
        <w:jc w:val="left"/>
        <w:rPr>
          <w:rFonts w:ascii="宋体" w:hAnsi="宋体" w:cs="宋体"/>
          <w:b w:val="0"/>
          <w:bCs w:val="0"/>
          <w:color w:val="000000" w:themeColor="text1"/>
          <w:sz w:val="24"/>
          <w:highlight w:val="none"/>
          <w:u w:val="single"/>
          <w14:textFill>
            <w14:solidFill>
              <w14:schemeClr w14:val="tx1"/>
            </w14:solidFill>
          </w14:textFill>
        </w:rPr>
      </w:pPr>
    </w:p>
    <w:p>
      <w:pPr>
        <w:pStyle w:val="3"/>
        <w:spacing w:before="565" w:beforeLines="0"/>
        <w:ind w:firstLine="0" w:firstLineChars="0"/>
        <w:jc w:val="center"/>
        <w:rPr>
          <w:rFonts w:ascii="宋体" w:hAnsi="宋体" w:cs="宋体"/>
          <w:color w:val="000000" w:themeColor="text1"/>
          <w:sz w:val="72"/>
          <w:szCs w:val="72"/>
          <w:highlight w:val="none"/>
          <w14:textFill>
            <w14:solidFill>
              <w14:schemeClr w14:val="tx1"/>
            </w14:solidFill>
          </w14:textFill>
        </w:rPr>
      </w:pPr>
      <w:bookmarkStart w:id="1" w:name="_Toc47018268"/>
      <w:bookmarkStart w:id="2" w:name="_Toc47018565"/>
      <w:r>
        <w:rPr>
          <w:rFonts w:hint="eastAsia" w:ascii="宋体" w:hAnsi="宋体" w:cs="宋体"/>
          <w:color w:val="000000" w:themeColor="text1"/>
          <w:sz w:val="72"/>
          <w:szCs w:val="72"/>
          <w:highlight w:val="none"/>
          <w14:textFill>
            <w14:solidFill>
              <w14:schemeClr w14:val="tx1"/>
            </w14:solidFill>
          </w14:textFill>
        </w:rPr>
        <w:t xml:space="preserve">招 标 </w:t>
      </w:r>
      <w:bookmarkEnd w:id="1"/>
      <w:bookmarkEnd w:id="2"/>
      <w:r>
        <w:rPr>
          <w:rFonts w:hint="eastAsia" w:ascii="宋体" w:hAnsi="宋体" w:cs="宋体"/>
          <w:color w:val="000000" w:themeColor="text1"/>
          <w:sz w:val="72"/>
          <w:szCs w:val="72"/>
          <w:highlight w:val="none"/>
          <w14:textFill>
            <w14:solidFill>
              <w14:schemeClr w14:val="tx1"/>
            </w14:solidFill>
          </w14:textFill>
        </w:rPr>
        <w:t>公 告</w:t>
      </w:r>
    </w:p>
    <w:p>
      <w:pPr>
        <w:pStyle w:val="38"/>
        <w:spacing w:line="360" w:lineRule="auto"/>
        <w:ind w:firstLine="480" w:firstLineChars="200"/>
        <w:jc w:val="left"/>
        <w:rPr>
          <w:rFonts w:ascii="宋体" w:hAnsi="宋体" w:cs="宋体"/>
          <w:b w:val="0"/>
          <w:bCs w:val="0"/>
          <w:color w:val="000000" w:themeColor="text1"/>
          <w:sz w:val="24"/>
          <w:highlight w:val="none"/>
          <w:u w:val="single"/>
          <w14:textFill>
            <w14:solidFill>
              <w14:schemeClr w14:val="tx1"/>
            </w14:solidFill>
          </w14:textFill>
        </w:rPr>
      </w:pPr>
      <w:bookmarkStart w:id="3" w:name="_Toc47018269"/>
      <w:bookmarkStart w:id="4" w:name="_Toc47018566"/>
    </w:p>
    <w:p>
      <w:pPr>
        <w:pStyle w:val="38"/>
        <w:spacing w:line="360" w:lineRule="auto"/>
        <w:ind w:firstLine="480" w:firstLineChars="200"/>
        <w:jc w:val="left"/>
        <w:rPr>
          <w:rFonts w:ascii="宋体" w:hAnsi="宋体" w:cs="宋体"/>
          <w:b w:val="0"/>
          <w:bCs w:val="0"/>
          <w:color w:val="000000" w:themeColor="text1"/>
          <w:sz w:val="24"/>
          <w:highlight w:val="none"/>
          <w:u w:val="single"/>
          <w14:textFill>
            <w14:solidFill>
              <w14:schemeClr w14:val="tx1"/>
            </w14:solidFill>
          </w14:textFill>
        </w:rPr>
      </w:pPr>
    </w:p>
    <w:p>
      <w:pPr>
        <w:pStyle w:val="38"/>
        <w:spacing w:line="360" w:lineRule="auto"/>
        <w:ind w:firstLine="480" w:firstLineChars="200"/>
        <w:jc w:val="left"/>
        <w:rPr>
          <w:rFonts w:ascii="宋体" w:hAnsi="宋体" w:cs="宋体"/>
          <w:b w:val="0"/>
          <w:bCs w:val="0"/>
          <w:color w:val="000000" w:themeColor="text1"/>
          <w:sz w:val="24"/>
          <w:highlight w:val="none"/>
          <w:u w:val="single"/>
          <w14:textFill>
            <w14:solidFill>
              <w14:schemeClr w14:val="tx1"/>
            </w14:solidFill>
          </w14:textFill>
        </w:rPr>
      </w:pPr>
    </w:p>
    <w:p>
      <w:pPr>
        <w:pStyle w:val="38"/>
        <w:spacing w:line="360" w:lineRule="auto"/>
        <w:ind w:firstLine="480" w:firstLineChars="200"/>
        <w:jc w:val="left"/>
        <w:rPr>
          <w:rFonts w:ascii="宋体" w:hAnsi="宋体" w:cs="宋体"/>
          <w:b w:val="0"/>
          <w:bCs w:val="0"/>
          <w:color w:val="000000" w:themeColor="text1"/>
          <w:sz w:val="24"/>
          <w:highlight w:val="none"/>
          <w:u w:val="single"/>
          <w14:textFill>
            <w14:solidFill>
              <w14:schemeClr w14:val="tx1"/>
            </w14:solidFill>
          </w14:textFill>
        </w:rPr>
      </w:pPr>
    </w:p>
    <w:p>
      <w:pPr>
        <w:pStyle w:val="38"/>
        <w:spacing w:line="360" w:lineRule="auto"/>
        <w:ind w:firstLine="480" w:firstLineChars="200"/>
        <w:jc w:val="left"/>
        <w:rPr>
          <w:rFonts w:ascii="宋体" w:hAnsi="宋体" w:cs="宋体"/>
          <w:b w:val="0"/>
          <w:bCs w:val="0"/>
          <w:color w:val="000000" w:themeColor="text1"/>
          <w:sz w:val="24"/>
          <w:highlight w:val="none"/>
          <w:u w:val="single"/>
          <w14:textFill>
            <w14:solidFill>
              <w14:schemeClr w14:val="tx1"/>
            </w14:solidFill>
          </w14:textFill>
        </w:rPr>
      </w:pPr>
    </w:p>
    <w:p>
      <w:pPr>
        <w:pStyle w:val="38"/>
        <w:spacing w:afterLines="0" w:line="360" w:lineRule="auto"/>
        <w:ind w:firstLine="480" w:firstLineChars="200"/>
        <w:jc w:val="left"/>
        <w:rPr>
          <w:rFonts w:ascii="宋体" w:hAnsi="宋体" w:cs="宋体"/>
          <w:b w:val="0"/>
          <w:bCs w:val="0"/>
          <w:color w:val="000000" w:themeColor="text1"/>
          <w:sz w:val="24"/>
          <w:highlight w:val="none"/>
          <w:u w:val="single"/>
          <w14:textFill>
            <w14:solidFill>
              <w14:schemeClr w14:val="tx1"/>
            </w14:solidFill>
          </w14:textFill>
        </w:rPr>
      </w:pPr>
    </w:p>
    <w:p>
      <w:pPr>
        <w:pStyle w:val="3"/>
        <w:spacing w:before="520" w:beforeLines="0" w:line="360" w:lineRule="auto"/>
        <w:ind w:firstLine="1084" w:firstLineChars="300"/>
        <w:rPr>
          <w:rFonts w:hint="eastAsia" w:ascii="宋体" w:hAnsi="宋体" w:eastAsia="宋体" w:cs="宋体"/>
          <w:color w:val="000000" w:themeColor="text1"/>
          <w:sz w:val="36"/>
          <w:szCs w:val="36"/>
          <w:highlight w:val="none"/>
          <w:lang w:eastAsia="zh-CN"/>
          <w14:textFill>
            <w14:solidFill>
              <w14:schemeClr w14:val="tx1"/>
            </w14:solidFill>
          </w14:textFill>
        </w:rPr>
      </w:pPr>
      <w:r>
        <w:rPr>
          <w:rFonts w:hint="eastAsia" w:ascii="宋体" w:hAnsi="宋体" w:cs="宋体"/>
          <w:color w:val="000000" w:themeColor="text1"/>
          <w:sz w:val="36"/>
          <w:szCs w:val="36"/>
          <w:highlight w:val="none"/>
          <w14:textFill>
            <w14:solidFill>
              <w14:schemeClr w14:val="tx1"/>
            </w14:solidFill>
          </w14:textFill>
        </w:rPr>
        <w:t>招 标 人：</w:t>
      </w:r>
      <w:bookmarkEnd w:id="3"/>
      <w:bookmarkEnd w:id="4"/>
      <w:r>
        <w:rPr>
          <w:rFonts w:hint="eastAsia" w:ascii="宋体" w:hAnsi="宋体" w:cs="宋体"/>
          <w:color w:val="000000" w:themeColor="text1"/>
          <w:sz w:val="36"/>
          <w:szCs w:val="36"/>
          <w:highlight w:val="none"/>
          <w:lang w:eastAsia="zh-CN"/>
          <w14:textFill>
            <w14:solidFill>
              <w14:schemeClr w14:val="tx1"/>
            </w14:solidFill>
          </w14:textFill>
        </w:rPr>
        <w:t>广州市海珠区人民政府新港街道办事处</w:t>
      </w:r>
    </w:p>
    <w:p>
      <w:pPr>
        <w:pStyle w:val="3"/>
        <w:spacing w:line="360" w:lineRule="auto"/>
        <w:ind w:firstLine="1084" w:firstLineChars="300"/>
        <w:rPr>
          <w:rFonts w:hint="eastAsia" w:ascii="宋体" w:hAnsi="宋体" w:eastAsia="宋体" w:cs="宋体"/>
          <w:color w:val="000000" w:themeColor="text1"/>
          <w:sz w:val="36"/>
          <w:szCs w:val="36"/>
          <w:highlight w:val="none"/>
          <w:lang w:eastAsia="zh-CN"/>
          <w14:textFill>
            <w14:solidFill>
              <w14:schemeClr w14:val="tx1"/>
            </w14:solidFill>
          </w14:textFill>
        </w:rPr>
      </w:pPr>
      <w:bookmarkStart w:id="5" w:name="_Toc47018270"/>
      <w:bookmarkStart w:id="6" w:name="_Toc47018567"/>
      <w:r>
        <w:rPr>
          <w:rFonts w:hint="eastAsia" w:ascii="宋体" w:hAnsi="宋体" w:cs="宋体"/>
          <w:color w:val="000000" w:themeColor="text1"/>
          <w:sz w:val="36"/>
          <w:szCs w:val="36"/>
          <w:highlight w:val="none"/>
          <w14:textFill>
            <w14:solidFill>
              <w14:schemeClr w14:val="tx1"/>
            </w14:solidFill>
          </w14:textFill>
        </w:rPr>
        <w:t>招标代理：</w:t>
      </w:r>
      <w:bookmarkEnd w:id="5"/>
      <w:bookmarkEnd w:id="6"/>
      <w:r>
        <w:rPr>
          <w:rFonts w:hint="eastAsia" w:ascii="宋体" w:hAnsi="宋体" w:eastAsia="宋体" w:cs="宋体"/>
          <w:color w:val="000000" w:themeColor="text1"/>
          <w:sz w:val="36"/>
          <w:szCs w:val="36"/>
          <w:highlight w:val="none"/>
          <w:lang w:eastAsia="zh-CN"/>
          <w14:textFill>
            <w14:solidFill>
              <w14:schemeClr w14:val="tx1"/>
            </w14:solidFill>
          </w14:textFill>
        </w:rPr>
        <w:t>广州穗科建设管理有限公司</w:t>
      </w:r>
    </w:p>
    <w:p>
      <w:pPr>
        <w:pStyle w:val="3"/>
        <w:spacing w:line="360" w:lineRule="auto"/>
        <w:ind w:firstLine="1084" w:firstLineChars="300"/>
        <w:rPr>
          <w:rFonts w:hint="eastAsia" w:ascii="宋体" w:hAnsi="宋体" w:eastAsia="宋体" w:cs="宋体"/>
          <w:color w:val="000000" w:themeColor="text1"/>
          <w:sz w:val="36"/>
          <w:szCs w:val="36"/>
          <w:highlight w:val="none"/>
          <w:lang w:eastAsia="zh-CN"/>
          <w14:textFill>
            <w14:solidFill>
              <w14:schemeClr w14:val="tx1"/>
            </w14:solidFill>
          </w14:textFill>
        </w:rPr>
      </w:pPr>
      <w:bookmarkStart w:id="7" w:name="_Toc47018271"/>
      <w:bookmarkStart w:id="8" w:name="_Toc47018568"/>
      <w:r>
        <w:rPr>
          <w:rFonts w:hint="eastAsia" w:ascii="宋体" w:hAnsi="宋体" w:cs="宋体"/>
          <w:color w:val="000000" w:themeColor="text1"/>
          <w:sz w:val="36"/>
          <w:szCs w:val="36"/>
          <w:highlight w:val="none"/>
          <w14:textFill>
            <w14:solidFill>
              <w14:schemeClr w14:val="tx1"/>
            </w14:solidFill>
          </w14:textFill>
        </w:rPr>
        <w:t>日    期：</w:t>
      </w:r>
      <w:bookmarkEnd w:id="7"/>
      <w:bookmarkEnd w:id="8"/>
      <w:r>
        <w:rPr>
          <w:rFonts w:hint="eastAsia" w:ascii="宋体" w:hAnsi="宋体" w:cs="宋体"/>
          <w:color w:val="000000" w:themeColor="text1"/>
          <w:sz w:val="36"/>
          <w:szCs w:val="36"/>
          <w:highlight w:val="none"/>
          <w:lang w:eastAsia="zh-CN"/>
          <w14:textFill>
            <w14:solidFill>
              <w14:schemeClr w14:val="tx1"/>
            </w14:solidFill>
          </w14:textFill>
        </w:rPr>
        <w:t>202</w:t>
      </w:r>
      <w:r>
        <w:rPr>
          <w:rFonts w:hint="eastAsia" w:ascii="宋体" w:hAnsi="宋体" w:cs="宋体"/>
          <w:color w:val="000000" w:themeColor="text1"/>
          <w:sz w:val="36"/>
          <w:szCs w:val="36"/>
          <w:highlight w:val="none"/>
          <w:lang w:val="en-US" w:eastAsia="zh-CN"/>
          <w14:textFill>
            <w14:solidFill>
              <w14:schemeClr w14:val="tx1"/>
            </w14:solidFill>
          </w14:textFill>
        </w:rPr>
        <w:t>4</w:t>
      </w:r>
      <w:r>
        <w:rPr>
          <w:rFonts w:hint="eastAsia" w:ascii="宋体" w:hAnsi="宋体" w:cs="宋体"/>
          <w:color w:val="000000" w:themeColor="text1"/>
          <w:sz w:val="36"/>
          <w:szCs w:val="36"/>
          <w:highlight w:val="none"/>
          <w:lang w:eastAsia="zh-CN"/>
          <w14:textFill>
            <w14:solidFill>
              <w14:schemeClr w14:val="tx1"/>
            </w14:solidFill>
          </w14:textFill>
        </w:rPr>
        <w:t>年0</w:t>
      </w:r>
      <w:r>
        <w:rPr>
          <w:rFonts w:hint="eastAsia" w:ascii="宋体" w:hAnsi="宋体" w:cs="宋体"/>
          <w:color w:val="000000" w:themeColor="text1"/>
          <w:sz w:val="36"/>
          <w:szCs w:val="36"/>
          <w:highlight w:val="none"/>
          <w:lang w:val="en-US" w:eastAsia="zh-CN"/>
          <w14:textFill>
            <w14:solidFill>
              <w14:schemeClr w14:val="tx1"/>
            </w14:solidFill>
          </w14:textFill>
        </w:rPr>
        <w:t>1</w:t>
      </w:r>
      <w:r>
        <w:rPr>
          <w:rFonts w:hint="eastAsia" w:ascii="宋体" w:hAnsi="宋体" w:cs="宋体"/>
          <w:color w:val="000000" w:themeColor="text1"/>
          <w:sz w:val="36"/>
          <w:szCs w:val="36"/>
          <w:highlight w:val="none"/>
          <w:lang w:eastAsia="zh-CN"/>
          <w14:textFill>
            <w14:solidFill>
              <w14:schemeClr w14:val="tx1"/>
            </w14:solidFill>
          </w14:textFill>
        </w:rPr>
        <w:t>月</w:t>
      </w:r>
    </w:p>
    <w:p>
      <w:pPr>
        <w:pStyle w:val="8"/>
        <w:jc w:val="center"/>
        <w:rPr>
          <w:b/>
          <w:color w:val="000000" w:themeColor="text1"/>
          <w:sz w:val="30"/>
          <w:szCs w:val="30"/>
          <w:highlight w:val="none"/>
          <w14:textFill>
            <w14:solidFill>
              <w14:schemeClr w14:val="tx1"/>
            </w14:solidFill>
          </w14:textFill>
        </w:rPr>
      </w:pPr>
    </w:p>
    <w:p>
      <w:pPr>
        <w:pStyle w:val="8"/>
        <w:jc w:val="center"/>
        <w:rPr>
          <w:b/>
          <w:color w:val="000000" w:themeColor="text1"/>
          <w:sz w:val="30"/>
          <w:szCs w:val="30"/>
          <w:highlight w:val="none"/>
          <w14:textFill>
            <w14:solidFill>
              <w14:schemeClr w14:val="tx1"/>
            </w14:solidFill>
          </w14:textFill>
        </w:rPr>
      </w:pPr>
    </w:p>
    <w:p>
      <w:pPr>
        <w:pStyle w:val="8"/>
        <w:jc w:val="center"/>
        <w:rPr>
          <w:rFonts w:ascii="宋体" w:hAnsi="宋体"/>
          <w:color w:val="000000" w:themeColor="text1"/>
          <w:sz w:val="24"/>
          <w:highlight w:val="none"/>
          <w:u w:val="single"/>
          <w14:textFill>
            <w14:solidFill>
              <w14:schemeClr w14:val="tx1"/>
            </w14:solidFill>
          </w14:textFill>
        </w:rPr>
      </w:pPr>
    </w:p>
    <w:p>
      <w:pPr>
        <w:pStyle w:val="8"/>
        <w:jc w:val="center"/>
        <w:rPr>
          <w:rFonts w:hint="eastAsia"/>
          <w:b/>
          <w:color w:val="000000" w:themeColor="text1"/>
          <w:sz w:val="30"/>
          <w:szCs w:val="30"/>
          <w:highlight w:val="none"/>
          <w:lang w:eastAsia="zh-CN"/>
          <w14:textFill>
            <w14:solidFill>
              <w14:schemeClr w14:val="tx1"/>
            </w14:solidFill>
          </w14:textFill>
        </w:rPr>
      </w:pPr>
      <w:r>
        <w:rPr>
          <w:rFonts w:hint="eastAsia"/>
          <w:b/>
          <w:color w:val="000000" w:themeColor="text1"/>
          <w:sz w:val="30"/>
          <w:szCs w:val="30"/>
          <w:highlight w:val="none"/>
          <w:lang w:eastAsia="zh-CN"/>
          <w14:textFill>
            <w14:solidFill>
              <w14:schemeClr w14:val="tx1"/>
            </w14:solidFill>
          </w14:textFill>
        </w:rPr>
        <w:t>立新社区微改造项目检测服务</w:t>
      </w:r>
    </w:p>
    <w:p>
      <w:pPr>
        <w:pStyle w:val="8"/>
        <w:jc w:val="center"/>
        <w:rPr>
          <w:rFonts w:hint="eastAsia" w:eastAsia="宋体"/>
          <w:b/>
          <w:color w:val="000000" w:themeColor="text1"/>
          <w:sz w:val="30"/>
          <w:szCs w:val="30"/>
          <w:highlight w:val="none"/>
          <w:lang w:val="en-US" w:eastAsia="zh-CN"/>
          <w14:textFill>
            <w14:solidFill>
              <w14:schemeClr w14:val="tx1"/>
            </w14:solidFill>
          </w14:textFill>
        </w:rPr>
      </w:pPr>
      <w:r>
        <w:rPr>
          <w:rFonts w:hint="eastAsia"/>
          <w:b/>
          <w:color w:val="000000" w:themeColor="text1"/>
          <w:sz w:val="30"/>
          <w:szCs w:val="30"/>
          <w:highlight w:val="none"/>
          <w14:textFill>
            <w14:solidFill>
              <w14:schemeClr w14:val="tx1"/>
            </w14:solidFill>
          </w14:textFill>
        </w:rPr>
        <w:t>招标公告</w:t>
      </w:r>
      <w:bookmarkEnd w:id="0"/>
      <w:r>
        <w:rPr>
          <w:rFonts w:hint="eastAsia"/>
          <w:b/>
          <w:color w:val="000000" w:themeColor="text1"/>
          <w:sz w:val="30"/>
          <w:szCs w:val="30"/>
          <w:highlight w:val="none"/>
          <w:lang w:val="en-US" w:eastAsia="zh-CN"/>
          <w14:textFill>
            <w14:solidFill>
              <w14:schemeClr w14:val="tx1"/>
            </w14:solidFill>
          </w14:textFill>
        </w:rPr>
        <w:tab/>
      </w:r>
    </w:p>
    <w:p>
      <w:pPr>
        <w:widowControl/>
        <w:spacing w:afterLines="0" w:line="360" w:lineRule="auto"/>
        <w:ind w:right="-210" w:rightChars="-100" w:firstLine="480" w:firstLineChars="200"/>
        <w:rPr>
          <w:rFonts w:ascii="宋体" w:hAnsi="宋体"/>
          <w:color w:val="000000" w:themeColor="text1"/>
          <w:sz w:val="24"/>
          <w:highlight w:val="none"/>
          <w:u w:val="single"/>
          <w14:textFill>
            <w14:solidFill>
              <w14:schemeClr w14:val="tx1"/>
            </w14:solidFill>
          </w14:textFill>
        </w:rPr>
      </w:pPr>
      <w:r>
        <w:rPr>
          <w:rFonts w:hint="eastAsia" w:ascii="宋体" w:hAnsi="宋体" w:cs="宋体"/>
          <w:color w:val="auto"/>
          <w:sz w:val="24"/>
          <w:u w:val="single"/>
          <w:lang w:eastAsia="zh-CN" w:bidi="ar"/>
        </w:rPr>
        <w:t>广州穗科建设管理有限公司</w:t>
      </w:r>
      <w:r>
        <w:rPr>
          <w:rFonts w:hint="eastAsia" w:ascii="宋体" w:hAnsi="宋体" w:cs="宋体"/>
          <w:color w:val="000000" w:themeColor="text1"/>
          <w:kern w:val="0"/>
          <w:sz w:val="24"/>
          <w:szCs w:val="24"/>
          <w:highlight w:val="none"/>
          <w14:textFill>
            <w14:solidFill>
              <w14:schemeClr w14:val="tx1"/>
            </w14:solidFill>
          </w14:textFill>
        </w:rPr>
        <w:t>受</w:t>
      </w:r>
      <w:r>
        <w:rPr>
          <w:rFonts w:hint="eastAsia" w:ascii="宋体" w:hAnsi="宋体"/>
          <w:color w:val="000000" w:themeColor="text1"/>
          <w:sz w:val="24"/>
          <w:szCs w:val="24"/>
          <w:highlight w:val="none"/>
          <w:u w:val="single"/>
          <w:lang w:eastAsia="zh-CN"/>
          <w14:textFill>
            <w14:solidFill>
              <w14:schemeClr w14:val="tx1"/>
            </w14:solidFill>
          </w14:textFill>
        </w:rPr>
        <w:t>广州市海珠区人民政府新港街道办事处</w:t>
      </w:r>
      <w:r>
        <w:rPr>
          <w:rFonts w:hint="eastAsia" w:ascii="宋体" w:hAnsi="宋体"/>
          <w:color w:val="000000" w:themeColor="text1"/>
          <w:sz w:val="24"/>
          <w:szCs w:val="24"/>
          <w:highlight w:val="none"/>
          <w14:textFill>
            <w14:solidFill>
              <w14:schemeClr w14:val="tx1"/>
            </w14:solidFill>
          </w14:textFill>
        </w:rPr>
        <w:t>的委托，</w:t>
      </w:r>
      <w:r>
        <w:rPr>
          <w:rFonts w:hint="eastAsia" w:ascii="宋体" w:hAnsi="宋体"/>
          <w:bCs/>
          <w:color w:val="000000" w:themeColor="text1"/>
          <w:sz w:val="24"/>
          <w:szCs w:val="24"/>
          <w:highlight w:val="none"/>
          <w14:textFill>
            <w14:solidFill>
              <w14:schemeClr w14:val="tx1"/>
            </w14:solidFill>
          </w14:textFill>
        </w:rPr>
        <w:t>现</w:t>
      </w:r>
      <w:r>
        <w:rPr>
          <w:rFonts w:hint="eastAsia" w:ascii="宋体" w:hAnsi="宋体"/>
          <w:color w:val="000000" w:themeColor="text1"/>
          <w:sz w:val="24"/>
          <w:szCs w:val="24"/>
          <w:highlight w:val="none"/>
          <w14:textFill>
            <w14:solidFill>
              <w14:schemeClr w14:val="tx1"/>
            </w14:solidFill>
          </w14:textFill>
        </w:rPr>
        <w:t>对</w:t>
      </w:r>
      <w:r>
        <w:rPr>
          <w:rFonts w:hint="eastAsia" w:ascii="宋体" w:hAnsi="宋体"/>
          <w:color w:val="auto"/>
          <w:sz w:val="24"/>
          <w:u w:val="single"/>
          <w:shd w:val="clear" w:color="auto" w:fill="FFFFFF"/>
          <w:lang w:eastAsia="zh-CN"/>
        </w:rPr>
        <w:t>立新社区微改造项目检测服务</w:t>
      </w:r>
      <w:r>
        <w:rPr>
          <w:rFonts w:hint="eastAsia" w:cs="宋体"/>
          <w:color w:val="000000" w:themeColor="text1"/>
          <w:sz w:val="24"/>
          <w:highlight w:val="none"/>
          <w14:textFill>
            <w14:solidFill>
              <w14:schemeClr w14:val="tx1"/>
            </w14:solidFill>
          </w14:textFill>
        </w:rPr>
        <w:t>进行公开招标，选定项目承包单位。</w:t>
      </w:r>
    </w:p>
    <w:p>
      <w:pPr>
        <w:pStyle w:val="8"/>
        <w:spacing w:before="123" w:beforeLines="39"/>
        <w:ind w:firstLine="480" w:firstLineChars="200"/>
        <w:rPr>
          <w:rFonts w:hint="eastAsia" w:ascii="宋体" w:hAnsi="宋体" w:eastAsia="宋体"/>
          <w:color w:val="000000" w:themeColor="text1"/>
          <w:sz w:val="24"/>
          <w:highlight w:val="none"/>
          <w:u w:val="single"/>
          <w:lang w:eastAsia="zh-CN"/>
          <w14:textFill>
            <w14:solidFill>
              <w14:schemeClr w14:val="tx1"/>
            </w14:solidFill>
          </w14:textFill>
        </w:rPr>
      </w:pPr>
      <w:r>
        <w:rPr>
          <w:rFonts w:hint="eastAsia"/>
          <w:color w:val="000000" w:themeColor="text1"/>
          <w:sz w:val="24"/>
          <w:highlight w:val="none"/>
          <w14:textFill>
            <w14:solidFill>
              <w14:schemeClr w14:val="tx1"/>
            </w14:solidFill>
          </w14:textFill>
        </w:rPr>
        <w:t>一、项目名称：</w:t>
      </w:r>
      <w:r>
        <w:rPr>
          <w:rFonts w:hint="eastAsia" w:ascii="宋体" w:hAnsi="宋体"/>
          <w:color w:val="auto"/>
          <w:sz w:val="24"/>
          <w:u w:val="single"/>
          <w:shd w:val="clear" w:color="auto" w:fill="FFFFFF"/>
          <w:lang w:eastAsia="zh-CN"/>
        </w:rPr>
        <w:t>立新社区微改造项目检测服务</w:t>
      </w:r>
    </w:p>
    <w:p>
      <w:pPr>
        <w:widowControl/>
        <w:snapToGrid w:val="0"/>
        <w:spacing w:line="360" w:lineRule="auto"/>
        <w:ind w:right="-210" w:rightChars="-100" w:firstLine="480" w:firstLineChars="200"/>
        <w:rPr>
          <w:rFonts w:ascii="宋体" w:hAnsi="宋体"/>
          <w:color w:val="000000" w:themeColor="text1"/>
          <w:sz w:val="24"/>
          <w:szCs w:val="24"/>
          <w:highlight w:val="none"/>
          <w:u w:val="singl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二、招标单位：</w:t>
      </w:r>
      <w:r>
        <w:rPr>
          <w:rFonts w:hint="eastAsia" w:ascii="宋体" w:hAnsi="宋体"/>
          <w:color w:val="000000" w:themeColor="text1"/>
          <w:sz w:val="24"/>
          <w:szCs w:val="24"/>
          <w:highlight w:val="none"/>
          <w:u w:val="single"/>
          <w:lang w:eastAsia="zh-CN"/>
          <w14:textFill>
            <w14:solidFill>
              <w14:schemeClr w14:val="tx1"/>
            </w14:solidFill>
          </w14:textFill>
        </w:rPr>
        <w:t>广州市海珠区人民政府新港街道办事处</w:t>
      </w:r>
    </w:p>
    <w:p>
      <w:pPr>
        <w:spacing w:line="360" w:lineRule="auto"/>
        <w:ind w:firstLine="1017" w:firstLineChars="424"/>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 xml:space="preserve">联系人： </w:t>
      </w:r>
      <w:r>
        <w:rPr>
          <w:rFonts w:hint="eastAsia" w:ascii="宋体" w:hAnsi="宋体"/>
          <w:color w:val="auto"/>
          <w:sz w:val="24"/>
          <w:u w:val="single"/>
          <w:lang w:val="en-US" w:eastAsia="zh-CN"/>
        </w:rPr>
        <w:t>张工</w:t>
      </w:r>
      <w:r>
        <w:rPr>
          <w:rFonts w:hint="eastAsia" w:ascii="宋体" w:hAnsi="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cs="宋体"/>
          <w:color w:val="000000" w:themeColor="text1"/>
          <w:kern w:val="0"/>
          <w:sz w:val="24"/>
          <w:szCs w:val="24"/>
          <w:highlight w:val="none"/>
          <w14:textFill>
            <w14:solidFill>
              <w14:schemeClr w14:val="tx1"/>
            </w14:solidFill>
          </w14:textFill>
        </w:rPr>
        <w:t xml:space="preserve">   联系电话： </w:t>
      </w:r>
      <w:r>
        <w:rPr>
          <w:rFonts w:hint="eastAsia" w:ascii="宋体" w:hAnsi="宋体" w:cs="宋体"/>
          <w:color w:val="000000" w:themeColor="text1"/>
          <w:kern w:val="0"/>
          <w:sz w:val="24"/>
          <w:szCs w:val="24"/>
          <w:highlight w:val="none"/>
          <w:u w:val="single"/>
          <w:lang w:eastAsia="zh-CN"/>
          <w14:textFill>
            <w14:solidFill>
              <w14:schemeClr w14:val="tx1"/>
            </w14:solidFill>
          </w14:textFill>
        </w:rPr>
        <w:t>020-34296155</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kern w:val="0"/>
          <w:sz w:val="24"/>
          <w:szCs w:val="24"/>
          <w:highlight w:val="none"/>
          <w:u w:val="single"/>
          <w14:textFill>
            <w14:solidFill>
              <w14:schemeClr w14:val="tx1"/>
            </w14:solidFill>
          </w14:textFill>
        </w:rPr>
        <w:t xml:space="preserve"> </w:t>
      </w:r>
    </w:p>
    <w:p>
      <w:pPr>
        <w:spacing w:line="360" w:lineRule="auto"/>
        <w:ind w:firstLine="1017" w:firstLineChars="424"/>
        <w:rPr>
          <w:rFonts w:hint="eastAsia" w:ascii="宋体" w:hAnsi="宋体" w:eastAsia="宋体" w:cs="宋体"/>
          <w:color w:val="000000" w:themeColor="text1"/>
          <w:kern w:val="0"/>
          <w:sz w:val="24"/>
          <w:szCs w:val="24"/>
          <w:highlight w:val="none"/>
          <w:lang w:eastAsia="zh-CN"/>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招标代理机构：</w:t>
      </w:r>
      <w:r>
        <w:rPr>
          <w:rFonts w:hint="eastAsia" w:ascii="宋体" w:hAnsi="宋体" w:cs="宋体"/>
          <w:color w:val="000000" w:themeColor="text1"/>
          <w:kern w:val="0"/>
          <w:sz w:val="24"/>
          <w:szCs w:val="24"/>
          <w:highlight w:val="none"/>
          <w:u w:val="single"/>
          <w:lang w:eastAsia="zh-CN"/>
          <w14:textFill>
            <w14:solidFill>
              <w14:schemeClr w14:val="tx1"/>
            </w14:solidFill>
          </w14:textFill>
        </w:rPr>
        <w:t>广州穗科建设管理有限公司</w:t>
      </w:r>
    </w:p>
    <w:p>
      <w:pPr>
        <w:spacing w:line="360" w:lineRule="auto"/>
        <w:ind w:firstLine="1017" w:firstLineChars="424"/>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联系人：</w:t>
      </w:r>
      <w:r>
        <w:rPr>
          <w:rFonts w:hint="eastAsia" w:ascii="宋体" w:hAnsi="宋体" w:cs="宋体"/>
          <w:color w:val="000000" w:themeColor="text1"/>
          <w:sz w:val="24"/>
          <w:szCs w:val="24"/>
          <w:highlight w:val="none"/>
          <w:u w:val="single"/>
          <w:lang w:eastAsia="zh-CN"/>
          <w14:textFill>
            <w14:solidFill>
              <w14:schemeClr w14:val="tx1"/>
            </w14:solidFill>
          </w14:textFill>
        </w:rPr>
        <w:t>李</w:t>
      </w:r>
      <w:r>
        <w:rPr>
          <w:rFonts w:hint="eastAsia" w:ascii="宋体" w:hAnsi="宋体" w:cs="宋体"/>
          <w:color w:val="000000" w:themeColor="text1"/>
          <w:sz w:val="24"/>
          <w:highlight w:val="none"/>
          <w:u w:val="single"/>
          <w:lang w:eastAsia="zh-CN"/>
          <w14:textFill>
            <w14:solidFill>
              <w14:schemeClr w14:val="tx1"/>
            </w14:solidFill>
          </w14:textFill>
        </w:rPr>
        <w:t>工</w:t>
      </w:r>
      <w:r>
        <w:rPr>
          <w:rFonts w:hint="eastAsia" w:ascii="宋体" w:hAnsi="宋体" w:cs="宋体"/>
          <w:color w:val="000000" w:themeColor="text1"/>
          <w:kern w:val="0"/>
          <w:sz w:val="24"/>
          <w:szCs w:val="24"/>
          <w:highlight w:val="none"/>
          <w14:textFill>
            <w14:solidFill>
              <w14:schemeClr w14:val="tx1"/>
            </w14:solidFill>
          </w14:textFill>
        </w:rPr>
        <w:t xml:space="preserve">       联系电话：</w:t>
      </w:r>
      <w:r>
        <w:rPr>
          <w:rFonts w:hint="eastAsia" w:ascii="宋体" w:hAnsi="宋体"/>
          <w:color w:val="auto"/>
          <w:sz w:val="24"/>
          <w:u w:val="single"/>
        </w:rPr>
        <w:t xml:space="preserve">020-61371998 </w:t>
      </w:r>
      <w:r>
        <w:rPr>
          <w:rFonts w:hint="eastAsia" w:ascii="宋体" w:hAnsi="宋体" w:cs="宋体"/>
          <w:color w:val="000000" w:themeColor="text1"/>
          <w:sz w:val="24"/>
          <w:szCs w:val="24"/>
          <w:highlight w:val="none"/>
          <w:u w:val="single"/>
          <w14:textFill>
            <w14:solidFill>
              <w14:schemeClr w14:val="tx1"/>
            </w14:solidFill>
          </w14:textFill>
        </w:rPr>
        <w:t xml:space="preserve"> </w:t>
      </w:r>
    </w:p>
    <w:p>
      <w:pPr>
        <w:spacing w:line="360" w:lineRule="auto"/>
        <w:ind w:firstLine="537" w:firstLineChars="224"/>
        <w:jc w:val="lef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三、建设地点</w:t>
      </w:r>
      <w:r>
        <w:rPr>
          <w:rFonts w:hint="eastAsia" w:cs="宋体"/>
          <w:color w:val="000000" w:themeColor="text1"/>
          <w:sz w:val="24"/>
          <w:highlight w:val="none"/>
          <w14:textFill>
            <w14:solidFill>
              <w14:schemeClr w14:val="tx1"/>
            </w14:solidFill>
          </w14:textFill>
        </w:rPr>
        <w:t>：</w:t>
      </w:r>
      <w:r>
        <w:rPr>
          <w:rFonts w:hint="eastAsia" w:cs="宋体"/>
          <w:color w:val="000000" w:themeColor="text1"/>
          <w:sz w:val="24"/>
          <w:highlight w:val="none"/>
          <w:u w:val="single"/>
          <w14:textFill>
            <w14:solidFill>
              <w14:schemeClr w14:val="tx1"/>
            </w14:solidFill>
          </w14:textFill>
        </w:rPr>
        <w:t xml:space="preserve"> </w:t>
      </w:r>
      <w:r>
        <w:rPr>
          <w:rFonts w:hint="eastAsia" w:ascii="宋体" w:hAnsi="宋体"/>
          <w:sz w:val="24"/>
          <w:szCs w:val="24"/>
          <w:highlight w:val="none"/>
          <w:u w:val="single"/>
        </w:rPr>
        <w:t>广州市</w:t>
      </w:r>
      <w:r>
        <w:rPr>
          <w:rFonts w:hint="eastAsia" w:ascii="宋体" w:hAnsi="宋体"/>
          <w:sz w:val="24"/>
          <w:szCs w:val="24"/>
          <w:highlight w:val="none"/>
          <w:u w:val="single"/>
          <w:lang w:val="en-US" w:eastAsia="zh-CN"/>
        </w:rPr>
        <w:t>海珠</w:t>
      </w:r>
      <w:r>
        <w:rPr>
          <w:rFonts w:hint="eastAsia" w:ascii="宋体" w:hAnsi="宋体"/>
          <w:sz w:val="24"/>
          <w:szCs w:val="24"/>
          <w:highlight w:val="none"/>
          <w:u w:val="single"/>
        </w:rPr>
        <w:t>区</w:t>
      </w:r>
      <w:r>
        <w:rPr>
          <w:rFonts w:hint="eastAsia" w:ascii="宋体" w:hAnsi="宋体" w:cs="宋体"/>
          <w:sz w:val="24"/>
          <w:szCs w:val="24"/>
          <w:highlight w:val="none"/>
          <w:u w:val="single"/>
        </w:rPr>
        <w:t>。</w:t>
      </w:r>
    </w:p>
    <w:p>
      <w:pPr>
        <w:widowControl/>
        <w:spacing w:line="360" w:lineRule="auto"/>
        <w:ind w:firstLine="480" w:firstLineChars="200"/>
        <w:jc w:val="left"/>
        <w:rPr>
          <w:rFonts w:ascii="宋体" w:hAnsi="宋体"/>
          <w:color w:val="000000" w:themeColor="text1"/>
          <w:sz w:val="24"/>
          <w:szCs w:val="24"/>
          <w:highlight w:val="none"/>
          <w:u w:val="singl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四、招标内容</w:t>
      </w:r>
      <w:r>
        <w:rPr>
          <w:rFonts w:hint="eastAsia" w:ascii="宋体" w:hAnsi="宋体"/>
          <w:color w:val="000000" w:themeColor="text1"/>
          <w:sz w:val="24"/>
          <w:szCs w:val="24"/>
          <w:highlight w:val="none"/>
          <w:lang w:eastAsia="zh-CN"/>
          <w14:textFill>
            <w14:solidFill>
              <w14:schemeClr w14:val="tx1"/>
            </w14:solidFill>
          </w14:textFill>
        </w:rPr>
        <w:t>：</w:t>
      </w:r>
      <w:bookmarkStart w:id="9" w:name="_Toc6636"/>
      <w:r>
        <w:rPr>
          <w:rFonts w:hint="eastAsia" w:ascii="宋体" w:hAnsi="宋体"/>
          <w:color w:val="000000" w:themeColor="text1"/>
          <w:sz w:val="24"/>
          <w:szCs w:val="24"/>
          <w:highlight w:val="none"/>
          <w:u w:val="single"/>
          <w:lang w:val="en-US" w:eastAsia="zh-CN"/>
          <w14:textFill>
            <w14:solidFill>
              <w14:schemeClr w14:val="tx1"/>
            </w14:solidFill>
          </w14:textFill>
        </w:rPr>
        <w:t>立新</w:t>
      </w:r>
      <w:r>
        <w:rPr>
          <w:rFonts w:hint="eastAsia" w:ascii="宋体" w:hAnsi="宋体"/>
          <w:color w:val="000000" w:themeColor="text1"/>
          <w:kern w:val="2"/>
          <w:sz w:val="24"/>
          <w:highlight w:val="none"/>
          <w:u w:val="single"/>
          <w:lang w:eastAsia="zh-CN"/>
          <w14:textFill>
            <w14:solidFill>
              <w14:schemeClr w14:val="tx1"/>
            </w14:solidFill>
          </w14:textFill>
        </w:rPr>
        <w:t>社区微改造项目检测服务</w:t>
      </w:r>
      <w:r>
        <w:rPr>
          <w:rFonts w:hint="eastAsia" w:ascii="宋体" w:hAnsi="宋体" w:cs="宋体"/>
          <w:color w:val="000000" w:themeColor="text1"/>
          <w:sz w:val="24"/>
          <w:szCs w:val="24"/>
          <w:highlight w:val="none"/>
          <w:u w:val="single"/>
          <w14:textFill>
            <w14:solidFill>
              <w14:schemeClr w14:val="tx1"/>
            </w14:solidFill>
          </w14:textFill>
        </w:rPr>
        <w:t>，</w:t>
      </w:r>
      <w:bookmarkEnd w:id="9"/>
      <w:r>
        <w:rPr>
          <w:rFonts w:hint="eastAsia" w:ascii="宋体" w:hAnsi="宋体" w:cs="宋体"/>
          <w:color w:val="000000" w:themeColor="text1"/>
          <w:sz w:val="24"/>
          <w:szCs w:val="24"/>
          <w:highlight w:val="none"/>
          <w:u w:val="single"/>
          <w14:textFill>
            <w14:solidFill>
              <w14:schemeClr w14:val="tx1"/>
            </w14:solidFill>
          </w14:textFill>
        </w:rPr>
        <w:t>主要包括对</w:t>
      </w:r>
      <w:r>
        <w:rPr>
          <w:rFonts w:hint="eastAsia" w:ascii="宋体" w:hAnsi="宋体"/>
          <w:color w:val="000000" w:themeColor="text1"/>
          <w:kern w:val="2"/>
          <w:sz w:val="24"/>
          <w:highlight w:val="none"/>
          <w:u w:val="single"/>
          <w:lang w:eastAsia="zh-CN"/>
          <w14:textFill>
            <w14:solidFill>
              <w14:schemeClr w14:val="tx1"/>
            </w14:solidFill>
          </w14:textFill>
        </w:rPr>
        <w:t>江怡社区</w:t>
      </w:r>
      <w:r>
        <w:rPr>
          <w:rFonts w:hint="eastAsia" w:ascii="宋体" w:hAnsi="宋体" w:cs="宋体"/>
          <w:color w:val="000000" w:themeColor="text1"/>
          <w:sz w:val="24"/>
          <w:szCs w:val="24"/>
          <w:highlight w:val="none"/>
          <w:u w:val="single"/>
          <w14:textFill>
            <w14:solidFill>
              <w14:schemeClr w14:val="tx1"/>
            </w14:solidFill>
          </w14:textFill>
        </w:rPr>
        <w:t>改造过程中的所有材料设备的见证取样检测等，具体以工程量清单、委托人要求及招标过程中发出的相关文件所包含的全部内容为准。</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p>
    <w:p>
      <w:pPr>
        <w:numPr>
          <w:ilvl w:val="0"/>
          <w:numId w:val="1"/>
        </w:numPr>
        <w:shd w:val="clear" w:color="auto" w:fill="FFFFFF"/>
        <w:adjustRightInd w:val="0"/>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服务期限：服务周期从通知进场至所有服务项目完成为止。服务周期为</w:t>
      </w:r>
      <w:r>
        <w:rPr>
          <w:rFonts w:hint="eastAsia" w:ascii="宋体" w:hAnsi="宋体"/>
          <w:color w:val="000000" w:themeColor="text1"/>
          <w:sz w:val="24"/>
          <w:szCs w:val="24"/>
          <w:highlight w:val="none"/>
          <w:u w:val="single"/>
          <w14:textFill>
            <w14:solidFill>
              <w14:schemeClr w14:val="tx1"/>
            </w14:solidFill>
          </w14:textFill>
        </w:rPr>
        <w:t>服务周期从通知进场至所有服务项目完成为止</w:t>
      </w:r>
      <w:r>
        <w:rPr>
          <w:rFonts w:hint="eastAsia" w:ascii="宋体" w:hAnsi="宋体"/>
          <w:color w:val="000000" w:themeColor="text1"/>
          <w:sz w:val="24"/>
          <w:szCs w:val="24"/>
          <w:highlight w:val="none"/>
          <w14:textFill>
            <w14:solidFill>
              <w14:schemeClr w14:val="tx1"/>
            </w14:solidFill>
          </w14:textFill>
        </w:rPr>
        <w:t>（具体以开工通知及竣工验收报告为准）。</w:t>
      </w:r>
    </w:p>
    <w:p>
      <w:pPr>
        <w:numPr>
          <w:ilvl w:val="0"/>
          <w:numId w:val="1"/>
        </w:numPr>
        <w:shd w:val="clear" w:color="auto" w:fill="FFFFFF"/>
        <w:adjustRightInd w:val="0"/>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资金来源：</w:t>
      </w:r>
      <w:r>
        <w:rPr>
          <w:rFonts w:hint="eastAsia" w:ascii="宋体" w:hAnsi="宋体" w:cs="宋体"/>
          <w:sz w:val="24"/>
          <w:szCs w:val="24"/>
          <w:highlight w:val="none"/>
          <w:u w:val="single"/>
        </w:rPr>
        <w:t>区财政资金</w:t>
      </w:r>
      <w:r>
        <w:rPr>
          <w:rFonts w:hint="eastAsia" w:ascii="宋体" w:hAnsi="宋体"/>
          <w:color w:val="000000" w:themeColor="text1"/>
          <w:sz w:val="24"/>
          <w:szCs w:val="24"/>
          <w:highlight w:val="none"/>
          <w14:textFill>
            <w14:solidFill>
              <w14:schemeClr w14:val="tx1"/>
            </w14:solidFill>
          </w14:textFill>
        </w:rPr>
        <w:t xml:space="preserve"> 。</w:t>
      </w:r>
    </w:p>
    <w:p>
      <w:pPr>
        <w:pStyle w:val="6"/>
        <w:spacing w:line="360" w:lineRule="auto"/>
        <w:rPr>
          <w:color w:val="000000" w:themeColor="text1"/>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七、招标控制价（最高限价）：</w:t>
      </w:r>
      <w:r>
        <w:rPr>
          <w:rFonts w:hint="eastAsia" w:ascii="宋体" w:hAnsi="宋体"/>
          <w:color w:val="auto"/>
          <w:sz w:val="24"/>
          <w:szCs w:val="24"/>
          <w:highlight w:val="none"/>
        </w:rPr>
        <w:t>人民币</w:t>
      </w:r>
      <w:r>
        <w:rPr>
          <w:rFonts w:hint="eastAsia" w:ascii="宋体" w:hAnsi="宋体"/>
          <w:color w:val="auto"/>
          <w:sz w:val="24"/>
          <w:szCs w:val="24"/>
          <w:highlight w:val="none"/>
          <w:u w:val="single"/>
          <w:lang w:val="en-US" w:eastAsia="zh-CN"/>
        </w:rPr>
        <w:t>4.5</w:t>
      </w:r>
      <w:bookmarkStart w:id="30" w:name="_GoBack"/>
      <w:bookmarkEnd w:id="30"/>
      <w:r>
        <w:rPr>
          <w:rFonts w:hint="eastAsia" w:ascii="宋体" w:hAnsi="宋体"/>
          <w:color w:val="auto"/>
          <w:sz w:val="24"/>
          <w:szCs w:val="24"/>
          <w:highlight w:val="none"/>
          <w:u w:val="single"/>
          <w:lang w:val="en-US" w:eastAsia="zh-CN"/>
        </w:rPr>
        <w:t>万</w:t>
      </w:r>
      <w:r>
        <w:rPr>
          <w:rFonts w:hint="eastAsia" w:ascii="宋体" w:hAnsi="宋体"/>
          <w:color w:val="auto"/>
          <w:sz w:val="24"/>
          <w:szCs w:val="24"/>
          <w:highlight w:val="none"/>
        </w:rPr>
        <w:t>元。</w:t>
      </w:r>
      <w:r>
        <w:rPr>
          <w:rFonts w:hint="eastAsia" w:ascii="宋体" w:hAnsi="宋体"/>
          <w:color w:val="000000" w:themeColor="text1"/>
          <w:sz w:val="24"/>
          <w:szCs w:val="24"/>
          <w:highlight w:val="none"/>
          <w14:textFill>
            <w14:solidFill>
              <w14:schemeClr w14:val="tx1"/>
            </w14:solidFill>
          </w14:textFill>
        </w:rPr>
        <w:t>投标人的投标总价超过上述投标最高限价的为无效标。</w:t>
      </w:r>
    </w:p>
    <w:p>
      <w:pPr>
        <w:adjustRightInd w:val="0"/>
        <w:snapToGrid w:val="0"/>
        <w:spacing w:line="360" w:lineRule="auto"/>
        <w:ind w:firstLine="360" w:firstLineChars="15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八、公告发布时间、</w:t>
      </w:r>
      <w:r>
        <w:rPr>
          <w:rFonts w:hint="eastAsia" w:ascii="宋体" w:hAnsi="宋体" w:cs="宋体"/>
          <w:color w:val="000000" w:themeColor="text1"/>
          <w:sz w:val="24"/>
          <w:highlight w:val="none"/>
          <w14:textFill>
            <w14:solidFill>
              <w14:schemeClr w14:val="tx1"/>
            </w14:solidFill>
          </w14:textFill>
        </w:rPr>
        <w:t>投标登记、</w:t>
      </w:r>
      <w:r>
        <w:rPr>
          <w:rFonts w:hint="eastAsia" w:ascii="宋体" w:hAnsi="宋体"/>
          <w:color w:val="000000" w:themeColor="text1"/>
          <w:sz w:val="24"/>
          <w:szCs w:val="24"/>
          <w:highlight w:val="none"/>
          <w14:textFill>
            <w14:solidFill>
              <w14:schemeClr w14:val="tx1"/>
            </w14:solidFill>
          </w14:textFill>
        </w:rPr>
        <w:t>递交投标文件时间及开标时间</w:t>
      </w:r>
    </w:p>
    <w:p>
      <w:pPr>
        <w:adjustRightInd w:val="0"/>
        <w:snapToGrid w:val="0"/>
        <w:spacing w:line="360" w:lineRule="auto"/>
        <w:ind w:firstLine="360" w:firstLineChars="150"/>
        <w:rPr>
          <w:rFonts w:ascii="宋体" w:hAnsi="宋体"/>
          <w:color w:val="auto"/>
          <w:sz w:val="24"/>
          <w:szCs w:val="24"/>
          <w:highlight w:val="none"/>
          <w:u w:val="single"/>
        </w:rPr>
      </w:pPr>
      <w:r>
        <w:rPr>
          <w:rFonts w:hint="eastAsia" w:ascii="宋体" w:hAnsi="宋体"/>
          <w:color w:val="000000" w:themeColor="text1"/>
          <w:sz w:val="24"/>
          <w:szCs w:val="24"/>
          <w:highlight w:val="none"/>
          <w14:textFill>
            <w14:solidFill>
              <w14:schemeClr w14:val="tx1"/>
            </w14:solidFill>
          </w14:textFill>
        </w:rPr>
        <w:t xml:space="preserve"> 1、公告发布时间：</w:t>
      </w:r>
      <w:r>
        <w:rPr>
          <w:rFonts w:hint="eastAsia" w:ascii="宋体" w:hAnsi="宋体"/>
          <w:color w:val="auto"/>
          <w:sz w:val="24"/>
          <w:szCs w:val="24"/>
          <w:highlight w:val="none"/>
          <w:u w:val="single"/>
        </w:rPr>
        <w:t>从</w:t>
      </w:r>
      <w:r>
        <w:rPr>
          <w:rFonts w:hint="eastAsia" w:ascii="宋体" w:hAnsi="宋体"/>
          <w:color w:val="auto"/>
          <w:sz w:val="24"/>
          <w:szCs w:val="24"/>
          <w:highlight w:val="none"/>
          <w:u w:val="single"/>
          <w:lang w:eastAsia="zh-CN"/>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1</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11</w:t>
      </w:r>
      <w:r>
        <w:rPr>
          <w:rFonts w:hint="eastAsia" w:ascii="宋体" w:hAnsi="宋体"/>
          <w:color w:val="auto"/>
          <w:sz w:val="24"/>
          <w:szCs w:val="24"/>
          <w:highlight w:val="none"/>
          <w:u w:val="single"/>
        </w:rPr>
        <w:t>日至</w:t>
      </w:r>
      <w:r>
        <w:rPr>
          <w:rFonts w:hint="eastAsia" w:ascii="宋体" w:hAnsi="宋体"/>
          <w:color w:val="auto"/>
          <w:sz w:val="24"/>
          <w:szCs w:val="24"/>
          <w:highlight w:val="none"/>
          <w:u w:val="single"/>
          <w:lang w:eastAsia="zh-CN"/>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1</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15</w:t>
      </w:r>
      <w:r>
        <w:rPr>
          <w:rFonts w:hint="eastAsia" w:ascii="宋体" w:hAnsi="宋体"/>
          <w:color w:val="auto"/>
          <w:sz w:val="24"/>
          <w:szCs w:val="24"/>
          <w:highlight w:val="none"/>
          <w:u w:val="single"/>
        </w:rPr>
        <w:t>日。</w:t>
      </w:r>
    </w:p>
    <w:p>
      <w:pPr>
        <w:tabs>
          <w:tab w:val="left" w:pos="360"/>
        </w:tabs>
        <w:spacing w:line="360" w:lineRule="auto"/>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auto"/>
          <w:sz w:val="24"/>
          <w:szCs w:val="24"/>
          <w:highlight w:val="none"/>
        </w:rPr>
        <w:t>2、投标登记时间：</w:t>
      </w:r>
      <w:r>
        <w:rPr>
          <w:rFonts w:hint="eastAsia" w:ascii="宋体" w:hAnsi="宋体"/>
          <w:color w:val="auto"/>
          <w:sz w:val="24"/>
          <w:highlight w:val="none"/>
        </w:rPr>
        <w:t>请于</w:t>
      </w:r>
      <w:r>
        <w:rPr>
          <w:rFonts w:hint="eastAsia" w:ascii="宋体" w:hAnsi="宋体"/>
          <w:color w:val="auto"/>
          <w:sz w:val="24"/>
          <w:szCs w:val="24"/>
          <w:highlight w:val="none"/>
          <w:u w:val="single"/>
          <w:lang w:eastAsia="zh-CN"/>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1</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11</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highlight w:val="none"/>
        </w:rPr>
        <w:t>至</w:t>
      </w:r>
      <w:r>
        <w:rPr>
          <w:rFonts w:hint="eastAsia" w:ascii="宋体" w:hAnsi="宋体"/>
          <w:color w:val="auto"/>
          <w:sz w:val="24"/>
          <w:szCs w:val="24"/>
          <w:highlight w:val="none"/>
          <w:u w:val="single"/>
          <w:lang w:eastAsia="zh-CN"/>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1</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15</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highlight w:val="none"/>
        </w:rPr>
        <w:t>，每日上午</w:t>
      </w:r>
      <w:r>
        <w:rPr>
          <w:rFonts w:ascii="宋体" w:hAnsi="宋体"/>
          <w:color w:val="auto"/>
          <w:sz w:val="24"/>
          <w:highlight w:val="none"/>
          <w:u w:val="single"/>
        </w:rPr>
        <w:t>9</w:t>
      </w:r>
      <w:r>
        <w:rPr>
          <w:rFonts w:hint="eastAsia" w:ascii="宋体" w:hAnsi="宋体"/>
          <w:color w:val="auto"/>
          <w:sz w:val="24"/>
          <w:highlight w:val="none"/>
          <w:u w:val="single"/>
        </w:rPr>
        <w:t>时</w:t>
      </w:r>
      <w:r>
        <w:rPr>
          <w:rFonts w:hint="eastAsia" w:ascii="宋体" w:hAnsi="宋体"/>
          <w:color w:val="auto"/>
          <w:sz w:val="24"/>
          <w:highlight w:val="none"/>
          <w:u w:val="single"/>
          <w:lang w:val="en-US" w:eastAsia="zh-CN"/>
        </w:rPr>
        <w:t>0</w:t>
      </w:r>
      <w:r>
        <w:rPr>
          <w:rFonts w:hint="eastAsia" w:ascii="宋体" w:hAnsi="宋体"/>
          <w:color w:val="auto"/>
          <w:sz w:val="24"/>
          <w:highlight w:val="none"/>
          <w:u w:val="single"/>
        </w:rPr>
        <w:t>0分</w:t>
      </w:r>
      <w:r>
        <w:rPr>
          <w:rFonts w:hint="eastAsia" w:ascii="宋体" w:hAnsi="宋体"/>
          <w:color w:val="auto"/>
          <w:sz w:val="24"/>
          <w:highlight w:val="none"/>
        </w:rPr>
        <w:t>至</w:t>
      </w:r>
      <w:r>
        <w:rPr>
          <w:rFonts w:hint="eastAsia" w:ascii="宋体" w:hAnsi="宋体"/>
          <w:color w:val="auto"/>
          <w:sz w:val="24"/>
          <w:highlight w:val="none"/>
          <w:u w:val="single"/>
        </w:rPr>
        <w:t>1</w:t>
      </w:r>
      <w:r>
        <w:rPr>
          <w:rFonts w:hint="eastAsia" w:ascii="宋体" w:hAnsi="宋体"/>
          <w:color w:val="auto"/>
          <w:sz w:val="24"/>
          <w:highlight w:val="none"/>
          <w:u w:val="single"/>
          <w:lang w:val="en-US" w:eastAsia="zh-CN"/>
        </w:rPr>
        <w:t>1</w:t>
      </w:r>
      <w:r>
        <w:rPr>
          <w:rFonts w:hint="eastAsia" w:ascii="宋体" w:hAnsi="宋体"/>
          <w:color w:val="auto"/>
          <w:sz w:val="24"/>
          <w:highlight w:val="none"/>
          <w:u w:val="single"/>
        </w:rPr>
        <w:t>时</w:t>
      </w:r>
      <w:r>
        <w:rPr>
          <w:rFonts w:hint="eastAsia" w:ascii="宋体" w:hAnsi="宋体"/>
          <w:color w:val="auto"/>
          <w:sz w:val="24"/>
          <w:highlight w:val="none"/>
          <w:u w:val="single"/>
          <w:lang w:val="en-US" w:eastAsia="zh-CN"/>
        </w:rPr>
        <w:t>3</w:t>
      </w:r>
      <w:r>
        <w:rPr>
          <w:rFonts w:hint="eastAsia" w:ascii="宋体" w:hAnsi="宋体"/>
          <w:color w:val="auto"/>
          <w:sz w:val="24"/>
          <w:highlight w:val="none"/>
          <w:u w:val="single"/>
        </w:rPr>
        <w:t>0分</w:t>
      </w:r>
      <w:r>
        <w:rPr>
          <w:rFonts w:hint="eastAsia" w:ascii="宋体" w:hAnsi="宋体"/>
          <w:color w:val="auto"/>
          <w:sz w:val="24"/>
          <w:highlight w:val="none"/>
        </w:rPr>
        <w:t>，下午</w:t>
      </w:r>
      <w:r>
        <w:rPr>
          <w:rFonts w:hint="eastAsia" w:ascii="宋体" w:hAnsi="宋体"/>
          <w:color w:val="auto"/>
          <w:sz w:val="24"/>
          <w:highlight w:val="none"/>
          <w:u w:val="single"/>
        </w:rPr>
        <w:t>14时</w:t>
      </w:r>
      <w:r>
        <w:rPr>
          <w:rFonts w:hint="eastAsia" w:ascii="宋体" w:hAnsi="宋体"/>
          <w:color w:val="auto"/>
          <w:sz w:val="24"/>
          <w:highlight w:val="none"/>
          <w:u w:val="single"/>
          <w:lang w:val="en-US" w:eastAsia="zh-CN"/>
        </w:rPr>
        <w:t>3</w:t>
      </w:r>
      <w:r>
        <w:rPr>
          <w:rFonts w:hint="eastAsia" w:ascii="宋体" w:hAnsi="宋体"/>
          <w:color w:val="auto"/>
          <w:sz w:val="24"/>
          <w:highlight w:val="none"/>
          <w:u w:val="single"/>
        </w:rPr>
        <w:t>0分</w:t>
      </w:r>
      <w:r>
        <w:rPr>
          <w:rFonts w:hint="eastAsia" w:ascii="宋体" w:hAnsi="宋体"/>
          <w:color w:val="auto"/>
          <w:sz w:val="24"/>
          <w:highlight w:val="none"/>
        </w:rPr>
        <w:t>至</w:t>
      </w:r>
      <w:r>
        <w:rPr>
          <w:rFonts w:hint="eastAsia" w:ascii="宋体" w:hAnsi="宋体"/>
          <w:color w:val="auto"/>
          <w:sz w:val="24"/>
          <w:highlight w:val="none"/>
          <w:u w:val="single"/>
        </w:rPr>
        <w:t>1</w:t>
      </w:r>
      <w:r>
        <w:rPr>
          <w:rFonts w:hint="eastAsia" w:ascii="宋体" w:hAnsi="宋体"/>
          <w:color w:val="auto"/>
          <w:sz w:val="24"/>
          <w:highlight w:val="none"/>
          <w:u w:val="single"/>
          <w:lang w:val="en-US" w:eastAsia="zh-CN"/>
        </w:rPr>
        <w:t>6</w:t>
      </w:r>
      <w:r>
        <w:rPr>
          <w:rFonts w:hint="eastAsia" w:ascii="宋体" w:hAnsi="宋体"/>
          <w:color w:val="auto"/>
          <w:sz w:val="24"/>
          <w:highlight w:val="none"/>
          <w:u w:val="single"/>
        </w:rPr>
        <w:t>时</w:t>
      </w:r>
      <w:r>
        <w:rPr>
          <w:rFonts w:hint="eastAsia" w:ascii="宋体" w:hAnsi="宋体"/>
          <w:color w:val="auto"/>
          <w:sz w:val="24"/>
          <w:highlight w:val="none"/>
          <w:u w:val="single"/>
          <w:lang w:val="en-US" w:eastAsia="zh-CN"/>
        </w:rPr>
        <w:t>3</w:t>
      </w:r>
      <w:r>
        <w:rPr>
          <w:rFonts w:hint="eastAsia" w:ascii="宋体" w:hAnsi="宋体"/>
          <w:color w:val="auto"/>
          <w:sz w:val="24"/>
          <w:highlight w:val="none"/>
          <w:u w:val="single"/>
        </w:rPr>
        <w:t>0分</w:t>
      </w:r>
      <w:r>
        <w:rPr>
          <w:rFonts w:hint="eastAsia" w:ascii="宋体" w:hAnsi="宋体"/>
          <w:color w:val="000000" w:themeColor="text1"/>
          <w:sz w:val="24"/>
          <w:highlight w:val="none"/>
          <w14:textFill>
            <w14:solidFill>
              <w14:schemeClr w14:val="tx1"/>
            </w14:solidFill>
          </w14:textFill>
        </w:rPr>
        <w:t>（北京时间），</w:t>
      </w:r>
      <w:r>
        <w:rPr>
          <w:rFonts w:hint="eastAsia" w:ascii="宋体" w:hAnsi="宋体"/>
          <w:sz w:val="24"/>
          <w:u w:val="single"/>
          <w:lang w:eastAsia="zh-CN"/>
        </w:rPr>
        <w:t>广州市天河区燕岭路89号燕侨大厦15楼1504室</w:t>
      </w:r>
      <w:r>
        <w:rPr>
          <w:rFonts w:hint="eastAsia" w:ascii="宋体" w:hAnsi="宋体"/>
          <w:color w:val="000000" w:themeColor="text1"/>
          <w:sz w:val="24"/>
          <w:highlight w:val="none"/>
          <w14:textFill>
            <w14:solidFill>
              <w14:schemeClr w14:val="tx1"/>
            </w14:solidFill>
          </w14:textFill>
        </w:rPr>
        <w:t xml:space="preserve">，请投标人持以下资料及第九点投标人合格条件所要求的资料办理报名登记并购买招标文件： </w:t>
      </w:r>
    </w:p>
    <w:p>
      <w:pPr>
        <w:tabs>
          <w:tab w:val="left" w:pos="360"/>
        </w:tabs>
        <w:spacing w:line="360" w:lineRule="auto"/>
        <w:ind w:firstLine="0" w:firstLineChars="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①企业法定代表人证明书、②法定代表人授权委托书、③被授权委托人有效的身份证原件及复印件。</w:t>
      </w:r>
    </w:p>
    <w:p>
      <w:pPr>
        <w:numPr>
          <w:ilvl w:val="0"/>
          <w:numId w:val="0"/>
        </w:numPr>
        <w:adjustRightInd w:val="0"/>
        <w:snapToGrid w:val="0"/>
        <w:spacing w:line="360" w:lineRule="auto"/>
        <w:ind w:firstLine="480" w:firstLineChars="200"/>
        <w:rPr>
          <w:rFonts w:ascii="宋体" w:hAnsi="宋体"/>
          <w:color w:val="auto"/>
          <w:sz w:val="24"/>
          <w:szCs w:val="24"/>
          <w:highlight w:val="none"/>
          <w:u w:val="single"/>
        </w:rPr>
      </w:pPr>
      <w:r>
        <w:rPr>
          <w:rFonts w:ascii="宋体" w:hAnsi="宋体" w:eastAsia="宋体" w:cs="Times New Roman"/>
          <w:color w:val="auto"/>
          <w:kern w:val="2"/>
          <w:sz w:val="24"/>
          <w:szCs w:val="24"/>
          <w:lang w:val="en-US" w:eastAsia="zh-CN" w:bidi="ar-SA"/>
        </w:rPr>
        <w:t>3、</w:t>
      </w:r>
      <w:r>
        <w:rPr>
          <w:rFonts w:hint="eastAsia" w:ascii="宋体" w:hAnsi="宋体" w:cs="宋体"/>
          <w:color w:val="auto"/>
          <w:sz w:val="24"/>
          <w:highlight w:val="none"/>
        </w:rPr>
        <w:t>递交投标文件起始时间</w:t>
      </w:r>
      <w:r>
        <w:rPr>
          <w:rFonts w:hint="eastAsia" w:ascii="宋体" w:hAnsi="宋体"/>
          <w:color w:val="auto"/>
          <w:sz w:val="24"/>
          <w:szCs w:val="24"/>
          <w:highlight w:val="none"/>
        </w:rPr>
        <w:t>：</w:t>
      </w:r>
      <w:r>
        <w:rPr>
          <w:rFonts w:hint="eastAsia" w:ascii="宋体" w:hAnsi="宋体"/>
          <w:color w:val="auto"/>
          <w:sz w:val="24"/>
          <w:szCs w:val="24"/>
          <w:highlight w:val="none"/>
          <w:u w:val="single"/>
          <w:lang w:eastAsia="zh-CN"/>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1</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31</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14</w:t>
      </w:r>
      <w:r>
        <w:rPr>
          <w:rFonts w:hint="eastAsia" w:ascii="宋体" w:hAnsi="宋体"/>
          <w:color w:val="auto"/>
          <w:sz w:val="24"/>
          <w:szCs w:val="24"/>
          <w:highlight w:val="none"/>
          <w:u w:val="single"/>
        </w:rPr>
        <w:t>时</w:t>
      </w:r>
      <w:r>
        <w:rPr>
          <w:rFonts w:hint="eastAsia" w:ascii="宋体" w:hAnsi="宋体"/>
          <w:color w:val="auto"/>
          <w:sz w:val="24"/>
          <w:szCs w:val="24"/>
          <w:highlight w:val="none"/>
          <w:u w:val="single"/>
          <w:lang w:val="en-US" w:eastAsia="zh-CN"/>
        </w:rPr>
        <w:t>30</w:t>
      </w:r>
      <w:r>
        <w:rPr>
          <w:rFonts w:hint="eastAsia" w:ascii="宋体" w:hAnsi="宋体"/>
          <w:color w:val="auto"/>
          <w:sz w:val="24"/>
          <w:szCs w:val="24"/>
          <w:highlight w:val="none"/>
          <w:u w:val="single"/>
        </w:rPr>
        <w:t>分；</w:t>
      </w:r>
      <w:r>
        <w:rPr>
          <w:rFonts w:hint="eastAsia" w:ascii="宋体" w:hAnsi="宋体"/>
          <w:color w:val="auto"/>
          <w:sz w:val="24"/>
          <w:szCs w:val="24"/>
          <w:highlight w:val="none"/>
        </w:rPr>
        <w:t>递交投标文件截止时间：</w:t>
      </w:r>
      <w:r>
        <w:rPr>
          <w:rFonts w:hint="eastAsia" w:ascii="宋体" w:hAnsi="宋体"/>
          <w:color w:val="auto"/>
          <w:sz w:val="24"/>
          <w:szCs w:val="24"/>
          <w:highlight w:val="none"/>
          <w:u w:val="single"/>
          <w:lang w:eastAsia="zh-CN"/>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1</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31</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14</w:t>
      </w:r>
      <w:r>
        <w:rPr>
          <w:rFonts w:hint="eastAsia" w:ascii="宋体" w:hAnsi="宋体"/>
          <w:color w:val="auto"/>
          <w:sz w:val="24"/>
          <w:szCs w:val="24"/>
          <w:highlight w:val="none"/>
          <w:u w:val="single"/>
        </w:rPr>
        <w:t>时</w:t>
      </w:r>
      <w:r>
        <w:rPr>
          <w:rFonts w:hint="eastAsia" w:ascii="宋体" w:hAnsi="宋体"/>
          <w:color w:val="auto"/>
          <w:sz w:val="24"/>
          <w:szCs w:val="24"/>
          <w:highlight w:val="none"/>
          <w:u w:val="single"/>
          <w:lang w:val="en-US" w:eastAsia="zh-CN"/>
        </w:rPr>
        <w:t>50</w:t>
      </w:r>
      <w:r>
        <w:rPr>
          <w:rFonts w:hint="eastAsia" w:ascii="宋体" w:hAnsi="宋体"/>
          <w:color w:val="auto"/>
          <w:sz w:val="24"/>
          <w:szCs w:val="24"/>
          <w:highlight w:val="none"/>
          <w:u w:val="single"/>
        </w:rPr>
        <w:t>分。</w:t>
      </w:r>
    </w:p>
    <w:p>
      <w:pPr>
        <w:numPr>
          <w:ilvl w:val="0"/>
          <w:numId w:val="0"/>
        </w:numPr>
        <w:adjustRightInd w:val="0"/>
        <w:snapToGrid w:val="0"/>
        <w:spacing w:line="360" w:lineRule="auto"/>
        <w:ind w:firstLine="480" w:firstLineChars="200"/>
        <w:rPr>
          <w:rFonts w:ascii="宋体" w:hAnsi="宋体"/>
          <w:color w:val="auto"/>
          <w:sz w:val="24"/>
          <w:szCs w:val="24"/>
          <w:highlight w:val="none"/>
          <w:u w:val="single"/>
        </w:rPr>
      </w:pPr>
      <w:r>
        <w:rPr>
          <w:rFonts w:ascii="宋体" w:hAnsi="宋体" w:eastAsia="宋体" w:cs="Times New Roman"/>
          <w:color w:val="auto"/>
          <w:kern w:val="2"/>
          <w:sz w:val="24"/>
          <w:szCs w:val="24"/>
          <w:lang w:val="en-US" w:eastAsia="zh-CN" w:bidi="ar-SA"/>
        </w:rPr>
        <w:t>4、</w:t>
      </w:r>
      <w:r>
        <w:rPr>
          <w:rFonts w:hint="eastAsia" w:ascii="宋体" w:hAnsi="宋体" w:cs="宋体"/>
          <w:color w:val="auto"/>
          <w:sz w:val="24"/>
          <w:highlight w:val="none"/>
        </w:rPr>
        <w:t>递交投标文件地点：</w:t>
      </w:r>
      <w:r>
        <w:rPr>
          <w:rFonts w:hint="eastAsia" w:ascii="宋体" w:hAnsi="宋体"/>
          <w:color w:val="auto"/>
          <w:sz w:val="24"/>
          <w:u w:val="single"/>
          <w:lang w:eastAsia="zh-CN"/>
        </w:rPr>
        <w:t>广州市天河区燕岭路89号燕侨大厦15楼1504室。</w:t>
      </w:r>
    </w:p>
    <w:p>
      <w:pPr>
        <w:spacing w:line="360" w:lineRule="auto"/>
        <w:ind w:firstLine="480" w:firstLineChars="200"/>
        <w:rPr>
          <w:rFonts w:ascii="宋体" w:hAnsi="宋体"/>
          <w:color w:val="auto"/>
          <w:sz w:val="24"/>
          <w:szCs w:val="24"/>
          <w:highlight w:val="none"/>
          <w:u w:val="single"/>
        </w:rPr>
      </w:pPr>
      <w:r>
        <w:rPr>
          <w:rFonts w:hint="eastAsia" w:ascii="宋体" w:hAnsi="宋体"/>
          <w:color w:val="auto"/>
          <w:sz w:val="24"/>
          <w:szCs w:val="24"/>
          <w:highlight w:val="none"/>
        </w:rPr>
        <w:t>5、开标时间：</w:t>
      </w:r>
      <w:r>
        <w:rPr>
          <w:rFonts w:hint="eastAsia" w:ascii="宋体" w:hAnsi="宋体"/>
          <w:color w:val="auto"/>
          <w:sz w:val="24"/>
          <w:szCs w:val="24"/>
          <w:highlight w:val="none"/>
          <w:u w:val="single"/>
          <w:lang w:eastAsia="zh-CN"/>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1</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31</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14</w:t>
      </w:r>
      <w:r>
        <w:rPr>
          <w:rFonts w:hint="eastAsia" w:ascii="宋体" w:hAnsi="宋体"/>
          <w:color w:val="auto"/>
          <w:sz w:val="24"/>
          <w:szCs w:val="24"/>
          <w:highlight w:val="none"/>
          <w:u w:val="single"/>
        </w:rPr>
        <w:t>时</w:t>
      </w:r>
      <w:r>
        <w:rPr>
          <w:rFonts w:hint="eastAsia" w:ascii="宋体" w:hAnsi="宋体"/>
          <w:color w:val="auto"/>
          <w:sz w:val="24"/>
          <w:szCs w:val="24"/>
          <w:highlight w:val="none"/>
          <w:u w:val="single"/>
          <w:lang w:val="en-US" w:eastAsia="zh-CN"/>
        </w:rPr>
        <w:t>50</w:t>
      </w:r>
      <w:r>
        <w:rPr>
          <w:rFonts w:hint="eastAsia" w:ascii="宋体" w:hAnsi="宋体"/>
          <w:color w:val="auto"/>
          <w:sz w:val="24"/>
          <w:szCs w:val="24"/>
          <w:highlight w:val="none"/>
          <w:u w:val="single"/>
        </w:rPr>
        <w:t>分。</w:t>
      </w:r>
    </w:p>
    <w:p>
      <w:pPr>
        <w:tabs>
          <w:tab w:val="left" w:pos="501"/>
        </w:tabs>
        <w:spacing w:line="360" w:lineRule="auto"/>
        <w:ind w:firstLine="537" w:firstLineChars="224"/>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6、招标文件每</w:t>
      </w:r>
      <w:r>
        <w:rPr>
          <w:rFonts w:hint="eastAsia" w:ascii="宋体" w:hAnsi="宋体"/>
          <w:color w:val="auto"/>
          <w:sz w:val="24"/>
          <w:szCs w:val="24"/>
          <w:highlight w:val="none"/>
        </w:rPr>
        <w:t>套售价</w:t>
      </w:r>
      <w:r>
        <w:rPr>
          <w:rFonts w:hint="eastAsia" w:ascii="宋体" w:hAnsi="宋体"/>
          <w:color w:val="auto"/>
          <w:sz w:val="24"/>
          <w:szCs w:val="24"/>
          <w:highlight w:val="none"/>
          <w:lang w:val="en-US" w:eastAsia="zh-CN"/>
        </w:rPr>
        <w:t>300</w:t>
      </w:r>
      <w:r>
        <w:rPr>
          <w:rFonts w:hint="eastAsia" w:ascii="宋体" w:hAnsi="宋体"/>
          <w:color w:val="auto"/>
          <w:sz w:val="24"/>
          <w:szCs w:val="24"/>
          <w:highlight w:val="none"/>
        </w:rPr>
        <w:t>元</w:t>
      </w:r>
      <w:r>
        <w:rPr>
          <w:rFonts w:hint="eastAsia" w:ascii="宋体" w:hAnsi="宋体"/>
          <w:color w:val="000000" w:themeColor="text1"/>
          <w:sz w:val="24"/>
          <w:szCs w:val="24"/>
          <w:highlight w:val="none"/>
          <w14:textFill>
            <w14:solidFill>
              <w14:schemeClr w14:val="tx1"/>
            </w14:solidFill>
          </w14:textFill>
        </w:rPr>
        <w:t>，由招标代理机构开具收据，售后不退。</w:t>
      </w:r>
    </w:p>
    <w:p>
      <w:pPr>
        <w:spacing w:line="360" w:lineRule="auto"/>
        <w:ind w:firstLine="482" w:firstLineChars="200"/>
        <w:rPr>
          <w:rFonts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九、投标人合格条件：</w:t>
      </w:r>
    </w:p>
    <w:p>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1、投标人参加投标的意思表达清楚，投标人代表被授权有效；</w:t>
      </w:r>
    </w:p>
    <w:p>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2、投标人均具有独立法人资格，按国家法律经营；</w:t>
      </w:r>
    </w:p>
    <w:p>
      <w:pPr>
        <w:spacing w:line="360" w:lineRule="auto"/>
        <w:ind w:firstLine="480" w:firstLineChars="200"/>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3、投标人应具备建设行政主管部门颁发的建设工程质量检测机构资质证书（检测范围覆盖招标主要内容：包括见证取样检测），且资质证书在有效期以内；</w:t>
      </w:r>
    </w:p>
    <w:p>
      <w:pPr>
        <w:spacing w:line="360" w:lineRule="auto"/>
        <w:ind w:firstLine="480" w:firstLineChars="200"/>
        <w:rPr>
          <w:rFonts w:hint="eastAsia" w:ascii="宋体" w:hAnsi="宋体" w:eastAsia="宋体" w:cs="Times New Roman"/>
          <w:color w:val="000000" w:themeColor="text1"/>
          <w:sz w:val="24"/>
          <w:szCs w:val="24"/>
          <w:highlight w:val="none"/>
          <w:lang w:eastAsia="zh-CN"/>
          <w14:textFill>
            <w14:solidFill>
              <w14:schemeClr w14:val="tx1"/>
            </w14:solidFill>
          </w14:textFill>
        </w:rPr>
      </w:pPr>
      <w:r>
        <w:rPr>
          <w:rFonts w:hint="eastAsia" w:ascii="宋体" w:hAnsi="宋体" w:cs="Times New Roman"/>
          <w:color w:val="000000" w:themeColor="text1"/>
          <w:sz w:val="24"/>
          <w:szCs w:val="24"/>
          <w:highlight w:val="none"/>
          <w:lang w:val="en-US" w:eastAsia="zh-CN"/>
          <w14:textFill>
            <w14:solidFill>
              <w14:schemeClr w14:val="tx1"/>
            </w14:solidFill>
          </w14:textFill>
        </w:rPr>
        <w:t>4</w:t>
      </w:r>
      <w:r>
        <w:rPr>
          <w:rFonts w:hint="eastAsia" w:ascii="宋体" w:hAnsi="宋体" w:eastAsia="宋体" w:cs="Times New Roman"/>
          <w:color w:val="000000" w:themeColor="text1"/>
          <w:sz w:val="24"/>
          <w:szCs w:val="24"/>
          <w:highlight w:val="none"/>
          <w14:textFill>
            <w14:solidFill>
              <w14:schemeClr w14:val="tx1"/>
            </w14:solidFill>
          </w14:textFill>
        </w:rPr>
        <w:t>、投标人拟担任本项目负责人应为具有工程类中级工程师或以上技术职称，且须持有建设行政主管部门或其委托的机构、行业协会颁发的检测员合格证</w:t>
      </w:r>
      <w:r>
        <w:rPr>
          <w:rFonts w:hint="eastAsia" w:ascii="宋体" w:hAnsi="宋体" w:cs="Times New Roman"/>
          <w:color w:val="000000" w:themeColor="text1"/>
          <w:sz w:val="24"/>
          <w:szCs w:val="24"/>
          <w:highlight w:val="none"/>
          <w:lang w:eastAsia="zh-CN"/>
          <w14:textFill>
            <w14:solidFill>
              <w14:schemeClr w14:val="tx1"/>
            </w14:solidFill>
          </w14:textFill>
        </w:rPr>
        <w:t>；</w:t>
      </w:r>
    </w:p>
    <w:p>
      <w:pPr>
        <w:spacing w:line="360" w:lineRule="auto"/>
        <w:ind w:firstLine="420" w:firstLineChars="175"/>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lang w:val="en-US" w:eastAsia="zh-CN"/>
          <w14:textFill>
            <w14:solidFill>
              <w14:schemeClr w14:val="tx1"/>
            </w14:solidFill>
          </w14:textFill>
        </w:rPr>
        <w:t>5</w:t>
      </w:r>
      <w:r>
        <w:rPr>
          <w:rFonts w:hint="eastAsia" w:ascii="宋体" w:hAnsi="宋体"/>
          <w:color w:val="000000" w:themeColor="text1"/>
          <w:sz w:val="24"/>
          <w:szCs w:val="24"/>
          <w:highlight w:val="none"/>
          <w14:textFill>
            <w14:solidFill>
              <w14:schemeClr w14:val="tx1"/>
            </w14:solidFill>
          </w14:textFill>
        </w:rPr>
        <w:t>、投标人已按照附件一的内容签署盖章的投标申请人声明。</w:t>
      </w:r>
    </w:p>
    <w:p>
      <w:pPr>
        <w:spacing w:line="360" w:lineRule="auto"/>
        <w:ind w:firstLine="480" w:firstLineChars="200"/>
        <w:rPr>
          <w:rFonts w:ascii="宋体" w:hAnsi="宋体" w:cs="宋体"/>
          <w:color w:val="000000" w:themeColor="text1"/>
          <w:kern w:val="0"/>
          <w:sz w:val="24"/>
          <w:szCs w:val="24"/>
          <w:highlight w:val="none"/>
          <w14:textFill>
            <w14:solidFill>
              <w14:schemeClr w14:val="tx1"/>
            </w14:solidFill>
          </w14:textFill>
        </w:rPr>
      </w:pPr>
      <w:bookmarkStart w:id="10" w:name="_Toc253143217"/>
      <w:bookmarkStart w:id="11" w:name="_Toc266093546"/>
      <w:bookmarkStart w:id="12" w:name="_Toc266881398"/>
      <w:bookmarkStart w:id="13" w:name="_Toc245023998"/>
      <w:bookmarkStart w:id="14" w:name="_Toc249845969"/>
      <w:bookmarkStart w:id="15" w:name="_Toc249846224"/>
      <w:r>
        <w:rPr>
          <w:rFonts w:hint="eastAsia" w:ascii="宋体" w:hAnsi="宋体"/>
          <w:color w:val="000000" w:themeColor="text1"/>
          <w:sz w:val="24"/>
          <w:szCs w:val="24"/>
          <w:highlight w:val="none"/>
          <w14:textFill>
            <w14:solidFill>
              <w14:schemeClr w14:val="tx1"/>
            </w14:solidFill>
          </w14:textFill>
        </w:rPr>
        <w:t>十、</w:t>
      </w:r>
      <w:bookmarkEnd w:id="10"/>
      <w:bookmarkEnd w:id="11"/>
      <w:bookmarkEnd w:id="12"/>
      <w:bookmarkEnd w:id="13"/>
      <w:bookmarkEnd w:id="14"/>
      <w:bookmarkEnd w:id="15"/>
      <w:r>
        <w:rPr>
          <w:rFonts w:ascii="宋体" w:hAnsi="宋体"/>
          <w:color w:val="000000" w:themeColor="text1"/>
          <w:sz w:val="24"/>
          <w:szCs w:val="24"/>
          <w:highlight w:val="none"/>
          <w:shd w:val="clear" w:color="auto" w:fill="FFFFFF"/>
          <w14:textFill>
            <w14:solidFill>
              <w14:schemeClr w14:val="tx1"/>
            </w14:solidFill>
          </w14:textFill>
        </w:rPr>
        <w:t>资格审查方式：本项目采用资格后审，由评标委员会负责对投标人的资格进行审查，</w:t>
      </w:r>
      <w:r>
        <w:rPr>
          <w:rFonts w:ascii="宋体" w:hAnsi="宋体"/>
          <w:color w:val="000000" w:themeColor="text1"/>
          <w:sz w:val="24"/>
          <w:szCs w:val="24"/>
          <w:highlight w:val="none"/>
          <w14:textFill>
            <w14:solidFill>
              <w14:schemeClr w14:val="tx1"/>
            </w14:solidFill>
          </w14:textFill>
        </w:rPr>
        <w:t>评标时只对通过资格审查的投标人进行下一阶段的评审。</w:t>
      </w:r>
      <w:r>
        <w:rPr>
          <w:rFonts w:ascii="宋体" w:hAnsi="宋体"/>
          <w:color w:val="000000" w:themeColor="text1"/>
          <w:sz w:val="24"/>
          <w:szCs w:val="24"/>
          <w:highlight w:val="none"/>
          <w:shd w:val="clear" w:color="auto" w:fill="FFFFFF"/>
          <w14:textFill>
            <w14:solidFill>
              <w14:schemeClr w14:val="tx1"/>
            </w14:solidFill>
          </w14:textFill>
        </w:rPr>
        <w:t>满足资格审查合格条件的投标人不足</w:t>
      </w:r>
      <w:r>
        <w:rPr>
          <w:rFonts w:hint="eastAsia" w:ascii="宋体" w:hAnsi="宋体"/>
          <w:color w:val="000000" w:themeColor="text1"/>
          <w:sz w:val="24"/>
          <w:szCs w:val="24"/>
          <w:highlight w:val="none"/>
          <w14:textFill>
            <w14:solidFill>
              <w14:schemeClr w14:val="tx1"/>
            </w14:solidFill>
          </w14:textFill>
        </w:rPr>
        <w:t>3</w:t>
      </w:r>
      <w:r>
        <w:rPr>
          <w:rFonts w:ascii="宋体" w:hAnsi="宋体"/>
          <w:color w:val="000000" w:themeColor="text1"/>
          <w:sz w:val="24"/>
          <w:szCs w:val="24"/>
          <w:highlight w:val="none"/>
          <w14:textFill>
            <w14:solidFill>
              <w14:schemeClr w14:val="tx1"/>
            </w14:solidFill>
          </w14:textFill>
        </w:rPr>
        <w:t>名或经评审通过有效性审查的投标</w:t>
      </w:r>
      <w:r>
        <w:rPr>
          <w:rFonts w:hint="eastAsia" w:ascii="宋体" w:hAnsi="宋体"/>
          <w:color w:val="000000" w:themeColor="text1"/>
          <w:sz w:val="24"/>
          <w:szCs w:val="24"/>
          <w:highlight w:val="none"/>
          <w14:textFill>
            <w14:solidFill>
              <w14:schemeClr w14:val="tx1"/>
            </w14:solidFill>
          </w14:textFill>
        </w:rPr>
        <w:t>人少于</w:t>
      </w:r>
      <w:r>
        <w:rPr>
          <w:rFonts w:ascii="宋体" w:hAnsi="宋体"/>
          <w:color w:val="000000" w:themeColor="text1"/>
          <w:sz w:val="24"/>
          <w:szCs w:val="24"/>
          <w:highlight w:val="none"/>
          <w14:textFill>
            <w14:solidFill>
              <w14:schemeClr w14:val="tx1"/>
            </w14:solidFill>
          </w14:textFill>
        </w:rPr>
        <w:t>3人时招标失败。</w:t>
      </w:r>
    </w:p>
    <w:p>
      <w:pPr>
        <w:widowControl/>
        <w:shd w:val="clear" w:color="auto" w:fill="FFFFFF"/>
        <w:spacing w:line="360" w:lineRule="auto"/>
        <w:ind w:firstLine="480" w:firstLineChars="200"/>
        <w:jc w:val="left"/>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十</w:t>
      </w:r>
      <w:r>
        <w:rPr>
          <w:rFonts w:hint="eastAsia" w:ascii="宋体" w:hAnsi="宋体" w:cs="宋体"/>
          <w:color w:val="000000" w:themeColor="text1"/>
          <w:kern w:val="0"/>
          <w:sz w:val="24"/>
          <w:szCs w:val="24"/>
          <w:highlight w:val="none"/>
          <w:lang w:val="en-US" w:eastAsia="zh-CN"/>
          <w14:textFill>
            <w14:solidFill>
              <w14:schemeClr w14:val="tx1"/>
            </w14:solidFill>
          </w14:textFill>
        </w:rPr>
        <w:t>一</w:t>
      </w:r>
      <w:r>
        <w:rPr>
          <w:rFonts w:hint="eastAsia" w:ascii="宋体" w:hAnsi="宋体" w:cs="宋体"/>
          <w:color w:val="000000" w:themeColor="text1"/>
          <w:kern w:val="0"/>
          <w:sz w:val="24"/>
          <w:szCs w:val="24"/>
          <w:highlight w:val="none"/>
          <w14:textFill>
            <w14:solidFill>
              <w14:schemeClr w14:val="tx1"/>
            </w14:solidFill>
          </w14:textFill>
        </w:rPr>
        <w:t>、潜在投标人或利害关系人对本招标公告及招标内容有异议的，向招标人书面提出。</w:t>
      </w:r>
    </w:p>
    <w:p>
      <w:pPr>
        <w:widowControl/>
        <w:shd w:val="clear" w:color="auto" w:fill="FFFFFF"/>
        <w:spacing w:line="360" w:lineRule="auto"/>
        <w:ind w:firstLine="480" w:firstLineChars="200"/>
        <w:jc w:val="left"/>
        <w:rPr>
          <w:rFonts w:hint="eastAsia" w:ascii="宋体" w:hAnsi="宋体" w:cs="宋体"/>
          <w:color w:val="000000" w:themeColor="text1"/>
          <w:kern w:val="0"/>
          <w:sz w:val="24"/>
          <w:szCs w:val="24"/>
          <w:highlight w:val="none"/>
          <w14:textFill>
            <w14:solidFill>
              <w14:schemeClr w14:val="tx1"/>
            </w14:solidFill>
          </w14:textFill>
        </w:rPr>
      </w:pPr>
    </w:p>
    <w:p>
      <w:pPr>
        <w:widowControl/>
        <w:shd w:val="clear" w:color="auto" w:fill="FFFFFF"/>
        <w:spacing w:line="360" w:lineRule="auto"/>
        <w:ind w:firstLine="480" w:firstLineChars="200"/>
        <w:jc w:val="left"/>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异议受理部门：</w:t>
      </w:r>
      <w:r>
        <w:rPr>
          <w:rFonts w:hint="eastAsia" w:ascii="宋体" w:hAnsi="宋体" w:cs="宋体"/>
          <w:color w:val="000000" w:themeColor="text1"/>
          <w:sz w:val="24"/>
          <w:highlight w:val="none"/>
          <w:u w:val="single"/>
          <w:lang w:eastAsia="zh-CN"/>
          <w14:textFill>
            <w14:solidFill>
              <w14:schemeClr w14:val="tx1"/>
            </w14:solidFill>
          </w14:textFill>
        </w:rPr>
        <w:t>广州市海珠区人民政府新港街道办事处</w:t>
      </w:r>
      <w:r>
        <w:rPr>
          <w:rFonts w:ascii="宋体" w:hAnsi="宋体" w:cs="宋体"/>
          <w:color w:val="000000" w:themeColor="text1"/>
          <w:kern w:val="0"/>
          <w:sz w:val="24"/>
          <w:szCs w:val="24"/>
          <w:highlight w:val="none"/>
          <w14:textFill>
            <w14:solidFill>
              <w14:schemeClr w14:val="tx1"/>
            </w14:solidFill>
          </w14:textFill>
        </w:rPr>
        <w:t>；</w:t>
      </w:r>
    </w:p>
    <w:p>
      <w:pPr>
        <w:widowControl/>
        <w:shd w:val="clear" w:color="auto" w:fill="FFFFFF"/>
        <w:spacing w:line="360" w:lineRule="auto"/>
        <w:ind w:firstLine="480" w:firstLineChars="200"/>
        <w:jc w:val="left"/>
        <w:rPr>
          <w:rFonts w:hint="eastAsia" w:ascii="仿宋" w:hAnsi="仿宋" w:eastAsia="仿宋" w:cs="仿宋"/>
          <w:color w:val="auto"/>
          <w:sz w:val="24"/>
          <w:szCs w:val="24"/>
          <w:u w:val="single"/>
          <w:lang w:val="en-US" w:eastAsia="zh-CN"/>
        </w:rPr>
      </w:pPr>
      <w:r>
        <w:rPr>
          <w:rFonts w:hint="eastAsia" w:ascii="宋体" w:hAnsi="宋体" w:cs="宋体"/>
          <w:color w:val="000000" w:themeColor="text1"/>
          <w:kern w:val="0"/>
          <w:sz w:val="24"/>
          <w:szCs w:val="24"/>
          <w:highlight w:val="none"/>
          <w14:textFill>
            <w14:solidFill>
              <w14:schemeClr w14:val="tx1"/>
            </w14:solidFill>
          </w14:textFill>
        </w:rPr>
        <w:t>异议受理电话：</w:t>
      </w:r>
      <w:r>
        <w:rPr>
          <w:rFonts w:hint="eastAsia" w:ascii="仿宋" w:hAnsi="仿宋" w:eastAsia="仿宋" w:cs="仿宋"/>
          <w:color w:val="auto"/>
          <w:sz w:val="24"/>
          <w:szCs w:val="24"/>
          <w:u w:val="single"/>
          <w:lang w:val="en-US" w:eastAsia="zh-CN"/>
        </w:rPr>
        <w:t>020-34296155</w:t>
      </w:r>
    </w:p>
    <w:p>
      <w:pPr>
        <w:widowControl/>
        <w:shd w:val="clear" w:color="auto" w:fill="FFFFFF"/>
        <w:spacing w:line="360" w:lineRule="auto"/>
        <w:ind w:firstLine="480" w:firstLineChars="200"/>
        <w:jc w:val="left"/>
        <w:rPr>
          <w:rFonts w:hint="eastAsia" w:ascii="宋体" w:hAnsi="宋体" w:eastAsia="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地址：</w:t>
      </w:r>
      <w:r>
        <w:rPr>
          <w:rFonts w:hint="eastAsia" w:ascii="宋体" w:hAnsi="宋体" w:cs="宋体"/>
          <w:bCs/>
          <w:color w:val="auto"/>
          <w:sz w:val="24"/>
          <w:szCs w:val="24"/>
          <w:highlight w:val="none"/>
          <w:u w:val="single"/>
        </w:rPr>
        <w:t>广州市海珠区江怡路225号</w:t>
      </w:r>
      <w:r>
        <w:rPr>
          <w:rFonts w:hint="eastAsia" w:ascii="宋体" w:hAnsi="宋体" w:cs="宋体"/>
          <w:bCs/>
          <w:color w:val="auto"/>
          <w:sz w:val="24"/>
          <w:szCs w:val="24"/>
          <w:highlight w:val="none"/>
          <w:u w:val="single"/>
          <w:lang w:eastAsia="zh-CN"/>
        </w:rPr>
        <w:t>。</w:t>
      </w:r>
    </w:p>
    <w:p>
      <w:pPr>
        <w:spacing w:line="360" w:lineRule="auto"/>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十二、本次招标公告在中国招标投标公共服务平台（网址：</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"http://www.cebpubservice.com/" </w:instrText>
      </w:r>
      <w:r>
        <w:rPr>
          <w:color w:val="000000" w:themeColor="text1"/>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http://www.cebpubservice.com/</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color w:val="000000" w:themeColor="text1"/>
          <w:sz w:val="24"/>
          <w:highlight w:val="none"/>
          <w14:textFill>
            <w14:solidFill>
              <w14:schemeClr w14:val="tx1"/>
            </w14:solidFill>
          </w14:textFill>
        </w:rPr>
        <w:t>）、</w:t>
      </w:r>
      <w:r>
        <w:rPr>
          <w:rFonts w:hint="eastAsia" w:ascii="宋体" w:hAnsi="宋体"/>
          <w:color w:val="auto"/>
          <w:sz w:val="24"/>
          <w:lang w:eastAsia="zh-CN"/>
        </w:rPr>
        <w:t>广州穗科建设管理有限公司</w:t>
      </w:r>
      <w:r>
        <w:rPr>
          <w:rFonts w:hint="eastAsia" w:ascii="宋体" w:hAnsi="宋体"/>
          <w:color w:val="auto"/>
          <w:sz w:val="24"/>
        </w:rPr>
        <w:t>（http://www.gzsuike.com/Home/index.html）</w:t>
      </w:r>
      <w:r>
        <w:rPr>
          <w:rFonts w:hint="eastAsia" w:ascii="宋体" w:hAnsi="宋体"/>
          <w:color w:val="000000" w:themeColor="text1"/>
          <w:sz w:val="24"/>
          <w:highlight w:val="none"/>
          <w14:textFill>
            <w14:solidFill>
              <w14:schemeClr w14:val="tx1"/>
            </w14:solidFill>
          </w14:textFill>
        </w:rPr>
        <w:t>等媒体上发布。等媒体上发布。本公告的修改、补充在</w:t>
      </w:r>
      <w:r>
        <w:rPr>
          <w:rFonts w:hint="eastAsia" w:ascii="宋体" w:hAnsi="宋体"/>
          <w:color w:val="000000" w:themeColor="text1"/>
          <w:sz w:val="24"/>
          <w:highlight w:val="none"/>
          <w:lang w:eastAsia="zh-CN"/>
          <w14:textFill>
            <w14:solidFill>
              <w14:schemeClr w14:val="tx1"/>
            </w14:solidFill>
          </w14:textFill>
        </w:rPr>
        <w:t>广州穗科建设管理有限公司</w:t>
      </w:r>
      <w:r>
        <w:rPr>
          <w:rFonts w:hint="eastAsia" w:ascii="宋体" w:hAnsi="宋体"/>
          <w:color w:val="000000" w:themeColor="text1"/>
          <w:sz w:val="24"/>
          <w:highlight w:val="none"/>
          <w14:textFill>
            <w14:solidFill>
              <w14:schemeClr w14:val="tx1"/>
            </w14:solidFill>
          </w14:textFill>
        </w:rPr>
        <w:t>网站发布。本公告在各媒体发布的文本如有不同之处，以在</w:t>
      </w:r>
      <w:r>
        <w:rPr>
          <w:rFonts w:hint="eastAsia" w:ascii="宋体" w:hAnsi="宋体"/>
          <w:color w:val="auto"/>
          <w:sz w:val="24"/>
          <w:lang w:eastAsia="zh-CN"/>
        </w:rPr>
        <w:t>广州穗科建设管理有限公司</w:t>
      </w:r>
      <w:r>
        <w:rPr>
          <w:rFonts w:hint="eastAsia" w:ascii="宋体" w:hAnsi="宋体"/>
          <w:color w:val="000000" w:themeColor="text1"/>
          <w:sz w:val="24"/>
          <w:highlight w:val="none"/>
          <w14:textFill>
            <w14:solidFill>
              <w14:schemeClr w14:val="tx1"/>
            </w14:solidFill>
          </w14:textFill>
        </w:rPr>
        <w:t>网站的发布文本为准。</w:t>
      </w:r>
    </w:p>
    <w:p>
      <w:pPr>
        <w:widowControl/>
        <w:shd w:val="clear" w:color="auto" w:fill="FFFFFF"/>
        <w:spacing w:line="360" w:lineRule="auto"/>
        <w:jc w:val="left"/>
        <w:rPr>
          <w:rFonts w:ascii="宋体" w:hAnsi="宋体" w:cs="宋体"/>
          <w:color w:val="000000" w:themeColor="text1"/>
          <w:kern w:val="0"/>
          <w:sz w:val="24"/>
          <w:szCs w:val="24"/>
          <w:highlight w:val="none"/>
          <w14:textFill>
            <w14:solidFill>
              <w14:schemeClr w14:val="tx1"/>
            </w14:solidFill>
          </w14:textFill>
        </w:rPr>
      </w:pPr>
    </w:p>
    <w:p>
      <w:pPr>
        <w:snapToGrid w:val="0"/>
        <w:spacing w:line="360" w:lineRule="auto"/>
        <w:ind w:right="97" w:rightChars="46"/>
        <w:jc w:val="left"/>
        <w:rPr>
          <w:rFonts w:ascii="宋体" w:hAnsi="宋体"/>
          <w:color w:val="000000" w:themeColor="text1"/>
          <w:sz w:val="24"/>
          <w:highlight w:val="none"/>
          <w14:textFill>
            <w14:solidFill>
              <w14:schemeClr w14:val="tx1"/>
            </w14:solidFill>
          </w14:textFill>
        </w:rPr>
      </w:pPr>
      <w:bookmarkStart w:id="16" w:name="_Toc245024004"/>
      <w:bookmarkStart w:id="17" w:name="_Toc249845976"/>
      <w:bookmarkStart w:id="18" w:name="_Toc245024005"/>
      <w:bookmarkStart w:id="19" w:name="_Toc249846231"/>
      <w:bookmarkStart w:id="20" w:name="_Toc253143223"/>
      <w:bookmarkStart w:id="21" w:name="_Toc416357992"/>
      <w:bookmarkStart w:id="22" w:name="_Toc253143224"/>
      <w:bookmarkStart w:id="23" w:name="_Toc249846232"/>
      <w:bookmarkStart w:id="24" w:name="_Toc266881405"/>
      <w:bookmarkStart w:id="25" w:name="_Toc266093552"/>
      <w:bookmarkStart w:id="26" w:name="_Toc266093553"/>
      <w:bookmarkStart w:id="27" w:name="_Toc266881404"/>
      <w:bookmarkStart w:id="28" w:name="_Toc416358163"/>
      <w:bookmarkStart w:id="29" w:name="_Toc249845977"/>
    </w:p>
    <w:bookmarkEnd w:id="16"/>
    <w:bookmarkEnd w:id="17"/>
    <w:bookmarkEnd w:id="18"/>
    <w:bookmarkEnd w:id="19"/>
    <w:bookmarkEnd w:id="20"/>
    <w:bookmarkEnd w:id="21"/>
    <w:bookmarkEnd w:id="22"/>
    <w:bookmarkEnd w:id="23"/>
    <w:bookmarkEnd w:id="24"/>
    <w:bookmarkEnd w:id="25"/>
    <w:bookmarkEnd w:id="26"/>
    <w:bookmarkEnd w:id="27"/>
    <w:bookmarkEnd w:id="28"/>
    <w:bookmarkEnd w:id="29"/>
    <w:p>
      <w:pPr>
        <w:snapToGrid/>
        <w:spacing w:line="240" w:lineRule="auto"/>
        <w:ind w:right="0" w:rightChars="0"/>
        <w:jc w:val="left"/>
        <w:rPr>
          <w:rFonts w:ascii="宋体" w:hAnsi="宋体"/>
          <w:color w:val="000000" w:themeColor="text1"/>
          <w:sz w:val="24"/>
          <w:highlight w:val="none"/>
          <w14:textFill>
            <w14:solidFill>
              <w14:schemeClr w14:val="tx1"/>
            </w14:solidFill>
          </w14:textFill>
        </w:rPr>
      </w:pPr>
    </w:p>
    <w:p>
      <w:pPr>
        <w:snapToGrid/>
        <w:spacing w:line="240" w:lineRule="auto"/>
        <w:ind w:right="0" w:rightChars="0"/>
        <w:jc w:val="left"/>
        <w:rPr>
          <w:rFonts w:ascii="宋体" w:hAnsi="宋体"/>
          <w:color w:val="000000" w:themeColor="text1"/>
          <w:sz w:val="24"/>
          <w:highlight w:val="none"/>
          <w14:textFill>
            <w14:solidFill>
              <w14:schemeClr w14:val="tx1"/>
            </w14:solidFill>
          </w14:textFill>
        </w:rPr>
      </w:pPr>
    </w:p>
    <w:p>
      <w:pPr>
        <w:snapToGrid/>
        <w:spacing w:line="240" w:lineRule="auto"/>
        <w:ind w:right="0" w:rightChars="0"/>
        <w:jc w:val="left"/>
        <w:rPr>
          <w:rFonts w:ascii="宋体" w:hAnsi="宋体"/>
          <w:color w:val="000000" w:themeColor="text1"/>
          <w:sz w:val="24"/>
          <w:highlight w:val="none"/>
          <w14:textFill>
            <w14:solidFill>
              <w14:schemeClr w14:val="tx1"/>
            </w14:solidFill>
          </w14:textFill>
        </w:rPr>
      </w:pPr>
    </w:p>
    <w:p>
      <w:pPr>
        <w:snapToGrid/>
        <w:spacing w:line="240" w:lineRule="auto"/>
        <w:ind w:right="0" w:rightChars="0"/>
        <w:jc w:val="left"/>
        <w:rPr>
          <w:rFonts w:ascii="宋体" w:hAnsi="宋体"/>
          <w:color w:val="000000" w:themeColor="text1"/>
          <w:sz w:val="24"/>
          <w:highlight w:val="none"/>
          <w14:textFill>
            <w14:solidFill>
              <w14:schemeClr w14:val="tx1"/>
            </w14:solidFill>
          </w14:textFill>
        </w:rPr>
      </w:pPr>
    </w:p>
    <w:p>
      <w:pPr>
        <w:snapToGrid/>
        <w:spacing w:line="240" w:lineRule="auto"/>
        <w:ind w:right="0" w:rightChars="0"/>
        <w:jc w:val="left"/>
        <w:rPr>
          <w:rFonts w:ascii="宋体" w:hAnsi="宋体"/>
          <w:color w:val="000000" w:themeColor="text1"/>
          <w:sz w:val="24"/>
          <w:highlight w:val="none"/>
          <w14:textFill>
            <w14:solidFill>
              <w14:schemeClr w14:val="tx1"/>
            </w14:solidFill>
          </w14:textFill>
        </w:rPr>
      </w:pPr>
    </w:p>
    <w:p>
      <w:pPr>
        <w:snapToGrid/>
        <w:spacing w:line="240" w:lineRule="auto"/>
        <w:ind w:right="0" w:rightChars="0"/>
        <w:jc w:val="left"/>
        <w:rPr>
          <w:rFonts w:ascii="宋体" w:hAnsi="宋体"/>
          <w:color w:val="000000" w:themeColor="text1"/>
          <w:sz w:val="24"/>
          <w:highlight w:val="none"/>
          <w14:textFill>
            <w14:solidFill>
              <w14:schemeClr w14:val="tx1"/>
            </w14:solidFill>
          </w14:textFill>
        </w:rPr>
      </w:pPr>
    </w:p>
    <w:p>
      <w:pPr>
        <w:snapToGrid/>
        <w:spacing w:line="240" w:lineRule="auto"/>
        <w:ind w:right="0" w:rightChars="0"/>
        <w:jc w:val="left"/>
        <w:rPr>
          <w:rFonts w:ascii="宋体" w:hAnsi="宋体"/>
          <w:color w:val="000000" w:themeColor="text1"/>
          <w:sz w:val="24"/>
          <w:highlight w:val="none"/>
          <w14:textFill>
            <w14:solidFill>
              <w14:schemeClr w14:val="tx1"/>
            </w14:solidFill>
          </w14:textFill>
        </w:rPr>
      </w:pPr>
    </w:p>
    <w:p>
      <w:pPr>
        <w:snapToGrid/>
        <w:spacing w:line="240" w:lineRule="auto"/>
        <w:ind w:right="0" w:rightChars="0"/>
        <w:jc w:val="left"/>
        <w:rPr>
          <w:rFonts w:ascii="宋体" w:hAnsi="宋体"/>
          <w:color w:val="000000" w:themeColor="text1"/>
          <w:sz w:val="24"/>
          <w:highlight w:val="none"/>
          <w14:textFill>
            <w14:solidFill>
              <w14:schemeClr w14:val="tx1"/>
            </w14:solidFill>
          </w14:textFill>
        </w:rPr>
      </w:pPr>
    </w:p>
    <w:p>
      <w:pPr>
        <w:snapToGrid/>
        <w:spacing w:line="240" w:lineRule="auto"/>
        <w:ind w:right="0" w:rightChars="0"/>
        <w:jc w:val="left"/>
        <w:rPr>
          <w:rFonts w:ascii="宋体" w:hAnsi="宋体"/>
          <w:color w:val="000000" w:themeColor="text1"/>
          <w:sz w:val="24"/>
          <w:highlight w:val="none"/>
          <w14:textFill>
            <w14:solidFill>
              <w14:schemeClr w14:val="tx1"/>
            </w14:solidFill>
          </w14:textFill>
        </w:rPr>
      </w:pPr>
    </w:p>
    <w:p>
      <w:pPr>
        <w:snapToGrid/>
        <w:spacing w:line="240" w:lineRule="auto"/>
        <w:ind w:right="0" w:rightChars="0"/>
        <w:jc w:val="left"/>
        <w:rPr>
          <w:rFonts w:ascii="宋体" w:hAnsi="宋体"/>
          <w:bCs/>
          <w:color w:val="000000" w:themeColor="text1"/>
          <w:kern w:val="0"/>
          <w:sz w:val="18"/>
          <w:szCs w:val="18"/>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附件</w:t>
      </w:r>
      <w:r>
        <w:rPr>
          <w:rFonts w:hint="eastAsia" w:ascii="宋体" w:hAnsi="宋体"/>
          <w:color w:val="000000" w:themeColor="text1"/>
          <w:sz w:val="24"/>
          <w:highlight w:val="none"/>
          <w14:textFill>
            <w14:solidFill>
              <w14:schemeClr w14:val="tx1"/>
            </w14:solidFill>
          </w14:textFill>
        </w:rPr>
        <w:t>一</w:t>
      </w:r>
    </w:p>
    <w:p>
      <w:pPr>
        <w:spacing w:line="360" w:lineRule="auto"/>
        <w:jc w:val="center"/>
        <w:rPr>
          <w:rFonts w:ascii="宋体" w:hAnsi="宋体"/>
          <w:b/>
          <w:bCs/>
          <w:color w:val="000000" w:themeColor="text1"/>
          <w:sz w:val="28"/>
          <w:szCs w:val="28"/>
          <w:highlight w:val="none"/>
          <w14:textFill>
            <w14:solidFill>
              <w14:schemeClr w14:val="tx1"/>
            </w14:solidFill>
          </w14:textFill>
        </w:rPr>
      </w:pPr>
      <w:r>
        <w:rPr>
          <w:rFonts w:hint="eastAsia" w:ascii="宋体" w:hAnsi="宋体"/>
          <w:b/>
          <w:bCs/>
          <w:color w:val="000000" w:themeColor="text1"/>
          <w:sz w:val="28"/>
          <w:szCs w:val="28"/>
          <w:highlight w:val="none"/>
          <w14:textFill>
            <w14:solidFill>
              <w14:schemeClr w14:val="tx1"/>
            </w14:solidFill>
          </w14:textFill>
        </w:rPr>
        <w:t>投标申请人声明</w:t>
      </w:r>
    </w:p>
    <w:p>
      <w:pPr>
        <w:pStyle w:val="41"/>
        <w:spacing w:line="340" w:lineRule="exact"/>
        <w:ind w:firstLine="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lang w:eastAsia="zh-CN"/>
          <w14:textFill>
            <w14:solidFill>
              <w14:schemeClr w14:val="tx1"/>
            </w14:solidFill>
          </w14:textFill>
        </w:rPr>
        <w:t>广州市海珠区人民政府新港街道办事处</w:t>
      </w:r>
      <w:r>
        <w:rPr>
          <w:rFonts w:hint="eastAsia" w:ascii="宋体" w:hAnsi="宋体" w:eastAsia="宋体"/>
          <w:color w:val="000000" w:themeColor="text1"/>
          <w:sz w:val="21"/>
          <w:szCs w:val="21"/>
          <w:highlight w:val="none"/>
          <w14:textFill>
            <w14:solidFill>
              <w14:schemeClr w14:val="tx1"/>
            </w14:solidFill>
          </w14:textFill>
        </w:rPr>
        <w:t>：</w:t>
      </w:r>
    </w:p>
    <w:p>
      <w:pPr>
        <w:spacing w:line="40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本公司就参加</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投标工作，作出郑重声明：</w:t>
      </w:r>
    </w:p>
    <w:p>
      <w:pPr>
        <w:spacing w:line="400" w:lineRule="exact"/>
        <w:ind w:firstLine="629"/>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一、本公司保证投标登记及其后提供的一切材料都是真实的。如我司成为本项目中标候选人，我司同意并授权招标人将我司投标文件商务部分的人员、业绩、奖项等资料进行公开。</w:t>
      </w:r>
    </w:p>
    <w:p>
      <w:pPr>
        <w:spacing w:line="400" w:lineRule="exact"/>
        <w:ind w:firstLine="629"/>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二、本公司保证在本项目投标中不与其他单位围标、串标，不出让投标资格，不向招标人或评标委员会成员行贿。</w:t>
      </w:r>
    </w:p>
    <w:p>
      <w:pPr>
        <w:spacing w:line="400" w:lineRule="exact"/>
        <w:ind w:firstLine="629"/>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三、本公司不存在下列情形之一：</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（1）为招标人不具有独立法人资格的附属机构（单位）；</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（2）与招标人存在利害关系且可能影响招标公正性；</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（3）与本招标项目的其他投标人为同一个单位负责人；</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（4）与本招标项目的其他投标人存在控股、管理关系；</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（5）为本招标项目的代建人；</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（6）为本招标项目的招标代理机构；</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（7）与本招标项目的代建人或招标代理机构同为一个法定代表人；</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（8）与本招标项目的代建人或招标代理机构存在控股或参股关系；</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w:t>
      </w:r>
      <w:r>
        <w:rPr>
          <w:rFonts w:hint="eastAsia" w:ascii="宋体" w:hAnsi="宋体" w:cs="Times New Roman"/>
          <w:color w:val="000000" w:themeColor="text1"/>
          <w:kern w:val="0"/>
          <w:sz w:val="21"/>
          <w:szCs w:val="21"/>
          <w:highlight w:val="none"/>
          <w:lang w:eastAsia="zh-CN"/>
          <w14:textFill>
            <w14:solidFill>
              <w14:schemeClr w14:val="tx1"/>
            </w14:solidFill>
          </w14:textFill>
        </w:rPr>
        <w:t>9</w:t>
      </w:r>
      <w:r>
        <w:rPr>
          <w:rFonts w:hint="eastAsia" w:ascii="宋体" w:hAnsi="宋体" w:cs="Times New Roman"/>
          <w:color w:val="000000" w:themeColor="text1"/>
          <w:kern w:val="0"/>
          <w:sz w:val="21"/>
          <w:szCs w:val="21"/>
          <w:highlight w:val="none"/>
          <w14:textFill>
            <w14:solidFill>
              <w14:schemeClr w14:val="tx1"/>
            </w14:solidFill>
          </w14:textFill>
        </w:rPr>
        <w:t>）被依法暂停或者取消投标资格；</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w:t>
      </w:r>
      <w:r>
        <w:rPr>
          <w:rFonts w:hint="eastAsia" w:ascii="宋体" w:hAnsi="宋体" w:cs="Times New Roman"/>
          <w:color w:val="000000" w:themeColor="text1"/>
          <w:kern w:val="0"/>
          <w:sz w:val="21"/>
          <w:szCs w:val="21"/>
          <w:highlight w:val="none"/>
          <w:lang w:eastAsia="zh-CN"/>
          <w14:textFill>
            <w14:solidFill>
              <w14:schemeClr w14:val="tx1"/>
            </w14:solidFill>
          </w14:textFill>
        </w:rPr>
        <w:t>1</w:t>
      </w:r>
      <w:r>
        <w:rPr>
          <w:rFonts w:hint="eastAsia" w:ascii="宋体" w:hAnsi="宋体" w:cs="Times New Roman"/>
          <w:color w:val="000000" w:themeColor="text1"/>
          <w:kern w:val="0"/>
          <w:sz w:val="21"/>
          <w:szCs w:val="21"/>
          <w:highlight w:val="none"/>
          <w:lang w:val="en-US" w:eastAsia="zh-CN"/>
          <w14:textFill>
            <w14:solidFill>
              <w14:schemeClr w14:val="tx1"/>
            </w14:solidFill>
          </w14:textFill>
        </w:rPr>
        <w:t>0</w:t>
      </w:r>
      <w:r>
        <w:rPr>
          <w:rFonts w:hint="eastAsia" w:ascii="宋体" w:hAnsi="宋体" w:cs="Times New Roman"/>
          <w:color w:val="000000" w:themeColor="text1"/>
          <w:kern w:val="0"/>
          <w:sz w:val="21"/>
          <w:szCs w:val="21"/>
          <w:highlight w:val="none"/>
          <w14:textFill>
            <w14:solidFill>
              <w14:schemeClr w14:val="tx1"/>
            </w14:solidFill>
          </w14:textFill>
        </w:rPr>
        <w:t>）被责令停产停业、暂扣或者吊销许可证、暂扣或者吊销执照；</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w:t>
      </w:r>
      <w:r>
        <w:rPr>
          <w:rFonts w:hint="eastAsia" w:ascii="宋体" w:hAnsi="宋体" w:cs="Times New Roman"/>
          <w:color w:val="000000" w:themeColor="text1"/>
          <w:kern w:val="0"/>
          <w:sz w:val="21"/>
          <w:szCs w:val="21"/>
          <w:highlight w:val="none"/>
          <w:lang w:eastAsia="zh-CN"/>
          <w14:textFill>
            <w14:solidFill>
              <w14:schemeClr w14:val="tx1"/>
            </w14:solidFill>
          </w14:textFill>
        </w:rPr>
        <w:t>1</w:t>
      </w:r>
      <w:r>
        <w:rPr>
          <w:rFonts w:hint="eastAsia" w:ascii="宋体" w:hAnsi="宋体" w:cs="Times New Roman"/>
          <w:color w:val="000000" w:themeColor="text1"/>
          <w:kern w:val="0"/>
          <w:sz w:val="21"/>
          <w:szCs w:val="21"/>
          <w:highlight w:val="none"/>
          <w:lang w:val="en-US" w:eastAsia="zh-CN"/>
          <w14:textFill>
            <w14:solidFill>
              <w14:schemeClr w14:val="tx1"/>
            </w14:solidFill>
          </w14:textFill>
        </w:rPr>
        <w:t>1</w:t>
      </w:r>
      <w:r>
        <w:rPr>
          <w:rFonts w:hint="eastAsia" w:ascii="宋体" w:hAnsi="宋体" w:cs="Times New Roman"/>
          <w:color w:val="000000" w:themeColor="text1"/>
          <w:kern w:val="0"/>
          <w:sz w:val="21"/>
          <w:szCs w:val="21"/>
          <w:highlight w:val="none"/>
          <w14:textFill>
            <w14:solidFill>
              <w14:schemeClr w14:val="tx1"/>
            </w14:solidFill>
          </w14:textFill>
        </w:rPr>
        <w:t>）进入清算程序，或被宣告破产，或其他丧失履约能力的情形；</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w:t>
      </w:r>
      <w:r>
        <w:rPr>
          <w:rFonts w:hint="eastAsia" w:ascii="宋体" w:hAnsi="宋体" w:cs="Times New Roman"/>
          <w:color w:val="000000" w:themeColor="text1"/>
          <w:kern w:val="0"/>
          <w:sz w:val="21"/>
          <w:szCs w:val="21"/>
          <w:highlight w:val="none"/>
          <w:lang w:eastAsia="zh-CN"/>
          <w14:textFill>
            <w14:solidFill>
              <w14:schemeClr w14:val="tx1"/>
            </w14:solidFill>
          </w14:textFill>
        </w:rPr>
        <w:t>1</w:t>
      </w:r>
      <w:r>
        <w:rPr>
          <w:rFonts w:hint="eastAsia" w:ascii="宋体" w:hAnsi="宋体" w:cs="Times New Roman"/>
          <w:color w:val="000000" w:themeColor="text1"/>
          <w:kern w:val="0"/>
          <w:sz w:val="21"/>
          <w:szCs w:val="21"/>
          <w:highlight w:val="none"/>
          <w:lang w:val="en-US" w:eastAsia="zh-CN"/>
          <w14:textFill>
            <w14:solidFill>
              <w14:schemeClr w14:val="tx1"/>
            </w14:solidFill>
          </w14:textFill>
        </w:rPr>
        <w:t>2</w:t>
      </w:r>
      <w:r>
        <w:rPr>
          <w:rFonts w:hint="eastAsia" w:ascii="宋体" w:hAnsi="宋体" w:cs="Times New Roman"/>
          <w:color w:val="000000" w:themeColor="text1"/>
          <w:kern w:val="0"/>
          <w:sz w:val="21"/>
          <w:szCs w:val="21"/>
          <w:highlight w:val="none"/>
          <w14:textFill>
            <w14:solidFill>
              <w14:schemeClr w14:val="tx1"/>
            </w14:solidFill>
          </w14:textFill>
        </w:rPr>
        <w:t>）在最近三年内发生重大质量问题（以相关行业主管部门的行政处罚决定或司法机关出具的有关法律文书为准）；</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w:t>
      </w:r>
      <w:r>
        <w:rPr>
          <w:rFonts w:hint="eastAsia" w:ascii="宋体" w:hAnsi="宋体" w:cs="Times New Roman"/>
          <w:color w:val="000000" w:themeColor="text1"/>
          <w:kern w:val="0"/>
          <w:sz w:val="21"/>
          <w:szCs w:val="21"/>
          <w:highlight w:val="none"/>
          <w:lang w:eastAsia="zh-CN"/>
          <w14:textFill>
            <w14:solidFill>
              <w14:schemeClr w14:val="tx1"/>
            </w14:solidFill>
          </w14:textFill>
        </w:rPr>
        <w:t>1</w:t>
      </w:r>
      <w:r>
        <w:rPr>
          <w:rFonts w:hint="eastAsia" w:ascii="宋体" w:hAnsi="宋体" w:cs="Times New Roman"/>
          <w:color w:val="000000" w:themeColor="text1"/>
          <w:kern w:val="0"/>
          <w:sz w:val="21"/>
          <w:szCs w:val="21"/>
          <w:highlight w:val="none"/>
          <w:lang w:val="en-US" w:eastAsia="zh-CN"/>
          <w14:textFill>
            <w14:solidFill>
              <w14:schemeClr w14:val="tx1"/>
            </w14:solidFill>
          </w14:textFill>
        </w:rPr>
        <w:t>3</w:t>
      </w:r>
      <w:r>
        <w:rPr>
          <w:rFonts w:hint="eastAsia" w:ascii="宋体" w:hAnsi="宋体" w:cs="Times New Roman"/>
          <w:color w:val="000000" w:themeColor="text1"/>
          <w:kern w:val="0"/>
          <w:sz w:val="21"/>
          <w:szCs w:val="21"/>
          <w:highlight w:val="none"/>
          <w14:textFill>
            <w14:solidFill>
              <w14:schemeClr w14:val="tx1"/>
            </w14:solidFill>
          </w14:textFill>
        </w:rPr>
        <w:t>）被工商行政管理机关在全国企业信用信息公示系统中列入严重违法失信企业名单；</w:t>
      </w:r>
    </w:p>
    <w:p>
      <w:pPr>
        <w:spacing w:line="400" w:lineRule="exact"/>
        <w:ind w:firstLine="629" w:firstLineChars="0"/>
        <w:jc w:val="left"/>
        <w:rPr>
          <w:rFonts w:hint="eastAsia" w:ascii="宋体" w:hAnsi="宋体" w:cs="Times New Roman"/>
          <w:color w:val="000000" w:themeColor="text1"/>
          <w:kern w:val="0"/>
          <w:sz w:val="21"/>
          <w:szCs w:val="21"/>
          <w:highlight w:val="none"/>
          <w14:textFill>
            <w14:solidFill>
              <w14:schemeClr w14:val="tx1"/>
            </w14:solidFill>
          </w14:textFill>
        </w:rPr>
      </w:pPr>
      <w:r>
        <w:rPr>
          <w:rFonts w:hint="eastAsia" w:ascii="宋体" w:hAnsi="宋体" w:cs="Times New Roman"/>
          <w:color w:val="000000" w:themeColor="text1"/>
          <w:kern w:val="0"/>
          <w:sz w:val="21"/>
          <w:szCs w:val="21"/>
          <w:highlight w:val="none"/>
          <w14:textFill>
            <w14:solidFill>
              <w14:schemeClr w14:val="tx1"/>
            </w14:solidFill>
          </w14:textFill>
        </w:rPr>
        <w:t>（</w:t>
      </w:r>
      <w:r>
        <w:rPr>
          <w:rFonts w:hint="eastAsia" w:ascii="宋体" w:hAnsi="宋体" w:cs="Times New Roman"/>
          <w:color w:val="000000" w:themeColor="text1"/>
          <w:kern w:val="0"/>
          <w:sz w:val="21"/>
          <w:szCs w:val="21"/>
          <w:highlight w:val="none"/>
          <w:lang w:eastAsia="zh-CN"/>
          <w14:textFill>
            <w14:solidFill>
              <w14:schemeClr w14:val="tx1"/>
            </w14:solidFill>
          </w14:textFill>
        </w:rPr>
        <w:t>1</w:t>
      </w:r>
      <w:r>
        <w:rPr>
          <w:rFonts w:hint="eastAsia" w:ascii="宋体" w:hAnsi="宋体" w:cs="Times New Roman"/>
          <w:color w:val="000000" w:themeColor="text1"/>
          <w:kern w:val="0"/>
          <w:sz w:val="21"/>
          <w:szCs w:val="21"/>
          <w:highlight w:val="none"/>
          <w:lang w:val="en-US" w:eastAsia="zh-CN"/>
          <w14:textFill>
            <w14:solidFill>
              <w14:schemeClr w14:val="tx1"/>
            </w14:solidFill>
          </w14:textFill>
        </w:rPr>
        <w:t>4</w:t>
      </w:r>
      <w:r>
        <w:rPr>
          <w:rFonts w:hint="eastAsia" w:ascii="宋体" w:hAnsi="宋体" w:cs="Times New Roman"/>
          <w:color w:val="000000" w:themeColor="text1"/>
          <w:kern w:val="0"/>
          <w:sz w:val="21"/>
          <w:szCs w:val="21"/>
          <w:highlight w:val="none"/>
          <w14:textFill>
            <w14:solidFill>
              <w14:schemeClr w14:val="tx1"/>
            </w14:solidFill>
          </w14:textFill>
        </w:rPr>
        <w:t>）法律法规或投标人须知前附表规定的其他情形。</w:t>
      </w:r>
    </w:p>
    <w:p>
      <w:pPr>
        <w:spacing w:line="400" w:lineRule="exact"/>
        <w:ind w:firstLine="629"/>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四、本公司保证本项目拟派的项目负责人没有在其他在建项目中任职。</w:t>
      </w:r>
    </w:p>
    <w:p>
      <w:pPr>
        <w:spacing w:line="400" w:lineRule="exact"/>
        <w:ind w:firstLine="629"/>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五、本公司承诺，中标后不转包或分包。</w:t>
      </w:r>
    </w:p>
    <w:p>
      <w:pPr>
        <w:spacing w:line="360" w:lineRule="auto"/>
        <w:ind w:firstLine="420" w:firstLineChars="200"/>
        <w:rPr>
          <w:rFonts w:ascii="宋体" w:hAnsi="宋体"/>
          <w:bCs/>
          <w:color w:val="000000" w:themeColor="text1"/>
          <w:kern w:val="0"/>
          <w:szCs w:val="21"/>
          <w:highlight w:val="non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六、与本公司单位负责人为同一人或者与本公司存在控股、管理关系的其他单位包括：</w:t>
      </w:r>
      <w:r>
        <w:rPr>
          <w:rFonts w:hint="eastAsia" w:ascii="宋体" w:hAnsi="宋体"/>
          <w:bCs/>
          <w:color w:val="000000" w:themeColor="text1"/>
          <w:kern w:val="0"/>
          <w:szCs w:val="21"/>
          <w:highlight w:val="none"/>
          <w:u w:val="single"/>
          <w14:textFill>
            <w14:solidFill>
              <w14:schemeClr w14:val="tx1"/>
            </w14:solidFill>
          </w14:textFill>
        </w:rPr>
        <w:t xml:space="preserve">                       </w:t>
      </w:r>
      <w:r>
        <w:rPr>
          <w:rFonts w:hint="eastAsia" w:ascii="宋体" w:hAnsi="宋体"/>
          <w:bCs/>
          <w:color w:val="000000" w:themeColor="text1"/>
          <w:kern w:val="0"/>
          <w:szCs w:val="21"/>
          <w:highlight w:val="none"/>
          <w14:textFill>
            <w14:solidFill>
              <w14:schemeClr w14:val="tx1"/>
            </w14:solidFill>
          </w14:textFill>
        </w:rPr>
        <w:t>。（注：本条由投标人如实填写，如有，应列出全部满足招标公告资质要求的相关单位的名称；如无，则填写“无”。）</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七</w:t>
      </w:r>
      <w:r>
        <w:rPr>
          <w:rFonts w:hint="eastAsia" w:ascii="宋体" w:hAnsi="宋体"/>
          <w:color w:val="000000" w:themeColor="text1"/>
          <w:szCs w:val="21"/>
          <w:highlight w:val="none"/>
          <w14:textFill>
            <w14:solidFill>
              <w14:schemeClr w14:val="tx1"/>
            </w14:solidFill>
          </w14:textFill>
        </w:rPr>
        <w:t>、本公司违反上述保证，或本声明陈述与事实不符，经查实，本公司愿意接受公开通报，</w:t>
      </w:r>
      <w:r>
        <w:rPr>
          <w:rFonts w:ascii="宋体" w:hAnsi="宋体"/>
          <w:color w:val="000000" w:themeColor="text1"/>
          <w:szCs w:val="21"/>
          <w:highlight w:val="none"/>
          <w14:textFill>
            <w14:solidFill>
              <w14:schemeClr w14:val="tx1"/>
            </w14:solidFill>
          </w14:textFill>
        </w:rPr>
        <w:t>记录不良行为</w:t>
      </w:r>
      <w:r>
        <w:rPr>
          <w:rFonts w:hint="eastAsia" w:ascii="宋体" w:hAnsi="宋体"/>
          <w:color w:val="000000" w:themeColor="text1"/>
          <w:szCs w:val="21"/>
          <w:highlight w:val="none"/>
          <w14:textFill>
            <w14:solidFill>
              <w14:schemeClr w14:val="tx1"/>
            </w14:solidFill>
          </w14:textFill>
        </w:rPr>
        <w:t>，承担由此带来的法律后果，并愿意停止参加广州市行政区域内的招标投标活动三个月。其中，本声明陈述与事实不符的，属于弄虚作假骗取中标，将依法接受监管部门的处罚。</w:t>
      </w:r>
    </w:p>
    <w:p>
      <w:pPr>
        <w:spacing w:line="276"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特此声明。</w:t>
      </w:r>
    </w:p>
    <w:p>
      <w:pPr>
        <w:pStyle w:val="40"/>
        <w:spacing w:line="276" w:lineRule="auto"/>
        <w:ind w:left="629" w:right="1449"/>
        <w:jc w:val="both"/>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 xml:space="preserve">   </w:t>
      </w:r>
      <w:r>
        <w:rPr>
          <w:rFonts w:ascii="宋体" w:hAnsi="宋体" w:eastAsia="宋体"/>
          <w:color w:val="000000" w:themeColor="text1"/>
          <w:sz w:val="21"/>
          <w:szCs w:val="21"/>
          <w:highlight w:val="none"/>
          <w14:textFill>
            <w14:solidFill>
              <w14:schemeClr w14:val="tx1"/>
            </w14:solidFill>
          </w14:textFill>
        </w:rPr>
        <w:t xml:space="preserve">          </w:t>
      </w:r>
      <w:r>
        <w:rPr>
          <w:rFonts w:hint="eastAsia" w:ascii="宋体" w:hAnsi="宋体" w:eastAsia="宋体"/>
          <w:color w:val="000000" w:themeColor="text1"/>
          <w:sz w:val="21"/>
          <w:szCs w:val="21"/>
          <w:highlight w:val="none"/>
          <w14:textFill>
            <w14:solidFill>
              <w14:schemeClr w14:val="tx1"/>
            </w14:solidFill>
          </w14:textFill>
        </w:rPr>
        <w:t xml:space="preserve">             声明企业：（企业公章）</w:t>
      </w:r>
    </w:p>
    <w:p>
      <w:pPr>
        <w:pStyle w:val="41"/>
        <w:spacing w:line="276" w:lineRule="auto"/>
        <w:ind w:right="1179" w:firstLine="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 xml:space="preserve">                                法定代表人（签字或盖章）：</w:t>
      </w:r>
    </w:p>
    <w:p>
      <w:pPr>
        <w:spacing w:line="276" w:lineRule="auto"/>
        <w:ind w:left="3360" w:leftChars="1600"/>
        <w:jc w:val="left"/>
        <w:rPr>
          <w:color w:val="000000" w:themeColor="text1"/>
          <w:sz w:val="24"/>
          <w:szCs w:val="24"/>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年</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w:t>
      </w:r>
    </w:p>
    <w:sectPr>
      <w:headerReference r:id="rId3" w:type="default"/>
      <w:pgSz w:w="11906" w:h="16838"/>
      <w:pgMar w:top="964" w:right="1558" w:bottom="1043" w:left="141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0000000000000000000"/>
    <w:charset w:val="86"/>
    <w:family w:val="modern"/>
    <w:pitch w:val="default"/>
    <w:sig w:usb0="00000000" w:usb1="00000000" w:usb2="00000000" w:usb3="00000000" w:csb0="00040000" w:csb1="00000000"/>
  </w:font>
  <w:font w:name="Calisto MT">
    <w:altName w:val="Segoe Print"/>
    <w:panose1 w:val="02040603050505030304"/>
    <w:charset w:val="00"/>
    <w:family w:val="roman"/>
    <w:pitch w:val="default"/>
    <w:sig w:usb0="00000000"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9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A846E5"/>
    <w:multiLevelType w:val="singleLevel"/>
    <w:tmpl w:val="F7A846E5"/>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mEwMWZlODNkYWFjMWQ0MDJiYmU0N2JhYTlkMTkifQ=="/>
  </w:docVars>
  <w:rsids>
    <w:rsidRoot w:val="00172A27"/>
    <w:rsid w:val="00004654"/>
    <w:rsid w:val="00007E12"/>
    <w:rsid w:val="00020A0D"/>
    <w:rsid w:val="00042C9A"/>
    <w:rsid w:val="00066C3B"/>
    <w:rsid w:val="000A24E8"/>
    <w:rsid w:val="000B5A33"/>
    <w:rsid w:val="000C3C14"/>
    <w:rsid w:val="00114038"/>
    <w:rsid w:val="00114F99"/>
    <w:rsid w:val="001206D2"/>
    <w:rsid w:val="00161C42"/>
    <w:rsid w:val="00172A27"/>
    <w:rsid w:val="00173577"/>
    <w:rsid w:val="00175DD8"/>
    <w:rsid w:val="001B1F25"/>
    <w:rsid w:val="001D63D3"/>
    <w:rsid w:val="001E036B"/>
    <w:rsid w:val="001E3BB3"/>
    <w:rsid w:val="001F2B98"/>
    <w:rsid w:val="001F721B"/>
    <w:rsid w:val="00202229"/>
    <w:rsid w:val="00202927"/>
    <w:rsid w:val="00213145"/>
    <w:rsid w:val="002344F2"/>
    <w:rsid w:val="00256504"/>
    <w:rsid w:val="002810C3"/>
    <w:rsid w:val="002A15EF"/>
    <w:rsid w:val="002A6812"/>
    <w:rsid w:val="002D13AC"/>
    <w:rsid w:val="002D3BDC"/>
    <w:rsid w:val="002E0DD3"/>
    <w:rsid w:val="003050BF"/>
    <w:rsid w:val="00354FAE"/>
    <w:rsid w:val="00364C4A"/>
    <w:rsid w:val="003815BA"/>
    <w:rsid w:val="003A6230"/>
    <w:rsid w:val="003A76F3"/>
    <w:rsid w:val="003C14F5"/>
    <w:rsid w:val="003C29B4"/>
    <w:rsid w:val="003C5A19"/>
    <w:rsid w:val="003E69CA"/>
    <w:rsid w:val="003F2716"/>
    <w:rsid w:val="0041378B"/>
    <w:rsid w:val="004307EA"/>
    <w:rsid w:val="00463D77"/>
    <w:rsid w:val="004670A7"/>
    <w:rsid w:val="00470AE1"/>
    <w:rsid w:val="00481CFD"/>
    <w:rsid w:val="0048769B"/>
    <w:rsid w:val="00495450"/>
    <w:rsid w:val="004A468A"/>
    <w:rsid w:val="004B4693"/>
    <w:rsid w:val="004B5E36"/>
    <w:rsid w:val="004C6B0C"/>
    <w:rsid w:val="004C7899"/>
    <w:rsid w:val="004E40EC"/>
    <w:rsid w:val="004F4828"/>
    <w:rsid w:val="005008E4"/>
    <w:rsid w:val="0053050A"/>
    <w:rsid w:val="00535132"/>
    <w:rsid w:val="005436FB"/>
    <w:rsid w:val="00561CD2"/>
    <w:rsid w:val="00574F4D"/>
    <w:rsid w:val="005A3144"/>
    <w:rsid w:val="005B1904"/>
    <w:rsid w:val="005B4493"/>
    <w:rsid w:val="005C4CE0"/>
    <w:rsid w:val="005C7DB9"/>
    <w:rsid w:val="005D6130"/>
    <w:rsid w:val="005F161B"/>
    <w:rsid w:val="0060158F"/>
    <w:rsid w:val="00607BD4"/>
    <w:rsid w:val="006101FD"/>
    <w:rsid w:val="006113AB"/>
    <w:rsid w:val="006118CB"/>
    <w:rsid w:val="006261DF"/>
    <w:rsid w:val="006345DB"/>
    <w:rsid w:val="00641B17"/>
    <w:rsid w:val="00660104"/>
    <w:rsid w:val="00660FF8"/>
    <w:rsid w:val="0066609D"/>
    <w:rsid w:val="00670282"/>
    <w:rsid w:val="00693C78"/>
    <w:rsid w:val="006C7169"/>
    <w:rsid w:val="006D4B2B"/>
    <w:rsid w:val="006D4D4E"/>
    <w:rsid w:val="006F4B56"/>
    <w:rsid w:val="007027B3"/>
    <w:rsid w:val="0070690C"/>
    <w:rsid w:val="007103F5"/>
    <w:rsid w:val="007156F3"/>
    <w:rsid w:val="007242FA"/>
    <w:rsid w:val="007323AA"/>
    <w:rsid w:val="00732BAE"/>
    <w:rsid w:val="00737E9B"/>
    <w:rsid w:val="00740D6D"/>
    <w:rsid w:val="00751137"/>
    <w:rsid w:val="007537D8"/>
    <w:rsid w:val="00763EF4"/>
    <w:rsid w:val="0079372C"/>
    <w:rsid w:val="007A5A20"/>
    <w:rsid w:val="007B359E"/>
    <w:rsid w:val="007B5B44"/>
    <w:rsid w:val="007C6BB9"/>
    <w:rsid w:val="007D6471"/>
    <w:rsid w:val="007E47A8"/>
    <w:rsid w:val="007E5BC0"/>
    <w:rsid w:val="00825C1F"/>
    <w:rsid w:val="008331BB"/>
    <w:rsid w:val="00843312"/>
    <w:rsid w:val="00852250"/>
    <w:rsid w:val="008571FB"/>
    <w:rsid w:val="00877C72"/>
    <w:rsid w:val="0088464E"/>
    <w:rsid w:val="008A20F6"/>
    <w:rsid w:val="008C3E66"/>
    <w:rsid w:val="008C6D3A"/>
    <w:rsid w:val="008D2F77"/>
    <w:rsid w:val="008E6B70"/>
    <w:rsid w:val="00926643"/>
    <w:rsid w:val="00936C80"/>
    <w:rsid w:val="00937B74"/>
    <w:rsid w:val="009519ED"/>
    <w:rsid w:val="00954C09"/>
    <w:rsid w:val="00954E1F"/>
    <w:rsid w:val="00965784"/>
    <w:rsid w:val="00972DB3"/>
    <w:rsid w:val="00990D7F"/>
    <w:rsid w:val="009A5062"/>
    <w:rsid w:val="009A7E8A"/>
    <w:rsid w:val="009D03A3"/>
    <w:rsid w:val="009D30F2"/>
    <w:rsid w:val="009E495E"/>
    <w:rsid w:val="009E4BA2"/>
    <w:rsid w:val="009E54C6"/>
    <w:rsid w:val="009F7DD1"/>
    <w:rsid w:val="00A417D9"/>
    <w:rsid w:val="00A439CA"/>
    <w:rsid w:val="00A47ECF"/>
    <w:rsid w:val="00A6767D"/>
    <w:rsid w:val="00A83DB7"/>
    <w:rsid w:val="00A86CA9"/>
    <w:rsid w:val="00A97D31"/>
    <w:rsid w:val="00AA7436"/>
    <w:rsid w:val="00AB001A"/>
    <w:rsid w:val="00AB34C2"/>
    <w:rsid w:val="00AB6CED"/>
    <w:rsid w:val="00AC1996"/>
    <w:rsid w:val="00AC1F1C"/>
    <w:rsid w:val="00AD2E6C"/>
    <w:rsid w:val="00AD4959"/>
    <w:rsid w:val="00AE1D78"/>
    <w:rsid w:val="00AE3018"/>
    <w:rsid w:val="00AF5274"/>
    <w:rsid w:val="00B03EF8"/>
    <w:rsid w:val="00B2366F"/>
    <w:rsid w:val="00B27F13"/>
    <w:rsid w:val="00B6080A"/>
    <w:rsid w:val="00B64B0E"/>
    <w:rsid w:val="00B711E9"/>
    <w:rsid w:val="00B83D42"/>
    <w:rsid w:val="00B93FB3"/>
    <w:rsid w:val="00B94480"/>
    <w:rsid w:val="00BB2A06"/>
    <w:rsid w:val="00BB3E2C"/>
    <w:rsid w:val="00BD5F3B"/>
    <w:rsid w:val="00BD7E29"/>
    <w:rsid w:val="00BE019F"/>
    <w:rsid w:val="00C04DAD"/>
    <w:rsid w:val="00C10F94"/>
    <w:rsid w:val="00C2553A"/>
    <w:rsid w:val="00C364AD"/>
    <w:rsid w:val="00C6031D"/>
    <w:rsid w:val="00C715B4"/>
    <w:rsid w:val="00CB4309"/>
    <w:rsid w:val="00CB5F13"/>
    <w:rsid w:val="00CD16D1"/>
    <w:rsid w:val="00CE6B5C"/>
    <w:rsid w:val="00CF76F1"/>
    <w:rsid w:val="00D175F1"/>
    <w:rsid w:val="00D17E08"/>
    <w:rsid w:val="00D21A9C"/>
    <w:rsid w:val="00D30F1A"/>
    <w:rsid w:val="00D462FC"/>
    <w:rsid w:val="00D540C1"/>
    <w:rsid w:val="00D56608"/>
    <w:rsid w:val="00D57C81"/>
    <w:rsid w:val="00D57F85"/>
    <w:rsid w:val="00D630CD"/>
    <w:rsid w:val="00D748B2"/>
    <w:rsid w:val="00DA6BCB"/>
    <w:rsid w:val="00DB0F97"/>
    <w:rsid w:val="00DB308A"/>
    <w:rsid w:val="00DD4746"/>
    <w:rsid w:val="00E06FD1"/>
    <w:rsid w:val="00E253A5"/>
    <w:rsid w:val="00E3261A"/>
    <w:rsid w:val="00EB4169"/>
    <w:rsid w:val="00ED2FE0"/>
    <w:rsid w:val="00ED783E"/>
    <w:rsid w:val="00EF55FA"/>
    <w:rsid w:val="00F06C42"/>
    <w:rsid w:val="00F34451"/>
    <w:rsid w:val="00F40F71"/>
    <w:rsid w:val="00F443B8"/>
    <w:rsid w:val="00F51D64"/>
    <w:rsid w:val="00F65D9C"/>
    <w:rsid w:val="00F77267"/>
    <w:rsid w:val="00F835FA"/>
    <w:rsid w:val="00F86C28"/>
    <w:rsid w:val="00F95F64"/>
    <w:rsid w:val="00FB09E0"/>
    <w:rsid w:val="00FB7F54"/>
    <w:rsid w:val="00FC3656"/>
    <w:rsid w:val="00FC5837"/>
    <w:rsid w:val="00FC720D"/>
    <w:rsid w:val="016C71F3"/>
    <w:rsid w:val="026F0426"/>
    <w:rsid w:val="02942A4B"/>
    <w:rsid w:val="054E3569"/>
    <w:rsid w:val="071A149F"/>
    <w:rsid w:val="079F6E8A"/>
    <w:rsid w:val="085835C1"/>
    <w:rsid w:val="08695DD0"/>
    <w:rsid w:val="0873068F"/>
    <w:rsid w:val="0A5F39F7"/>
    <w:rsid w:val="0B8C247C"/>
    <w:rsid w:val="0CFB7D08"/>
    <w:rsid w:val="0E173D65"/>
    <w:rsid w:val="0EA607A8"/>
    <w:rsid w:val="11E51593"/>
    <w:rsid w:val="12250024"/>
    <w:rsid w:val="12505E9E"/>
    <w:rsid w:val="134C478E"/>
    <w:rsid w:val="13F574D1"/>
    <w:rsid w:val="1400176A"/>
    <w:rsid w:val="14330809"/>
    <w:rsid w:val="14910427"/>
    <w:rsid w:val="14D30381"/>
    <w:rsid w:val="15BB7A7C"/>
    <w:rsid w:val="15C70A44"/>
    <w:rsid w:val="15C80058"/>
    <w:rsid w:val="16EB1268"/>
    <w:rsid w:val="17B738FF"/>
    <w:rsid w:val="190E3377"/>
    <w:rsid w:val="19A216BC"/>
    <w:rsid w:val="19EC070F"/>
    <w:rsid w:val="1B9E67A0"/>
    <w:rsid w:val="1DAA66D5"/>
    <w:rsid w:val="1F086080"/>
    <w:rsid w:val="204B2DC0"/>
    <w:rsid w:val="20731534"/>
    <w:rsid w:val="215638A4"/>
    <w:rsid w:val="21894E00"/>
    <w:rsid w:val="22AD6FA9"/>
    <w:rsid w:val="22FB5085"/>
    <w:rsid w:val="242A2CA0"/>
    <w:rsid w:val="2503003C"/>
    <w:rsid w:val="26A5764C"/>
    <w:rsid w:val="26D55113"/>
    <w:rsid w:val="26EF2C0D"/>
    <w:rsid w:val="286C3497"/>
    <w:rsid w:val="294F481B"/>
    <w:rsid w:val="29B90420"/>
    <w:rsid w:val="29DD5BB1"/>
    <w:rsid w:val="2A01189F"/>
    <w:rsid w:val="2A7155AD"/>
    <w:rsid w:val="2A7B299B"/>
    <w:rsid w:val="2A9A390F"/>
    <w:rsid w:val="2AB46AD7"/>
    <w:rsid w:val="2B964922"/>
    <w:rsid w:val="2BC87059"/>
    <w:rsid w:val="2C377232"/>
    <w:rsid w:val="2E3B7718"/>
    <w:rsid w:val="2EBB6796"/>
    <w:rsid w:val="2EDC2467"/>
    <w:rsid w:val="2F4830A2"/>
    <w:rsid w:val="2F887F9E"/>
    <w:rsid w:val="2F97583A"/>
    <w:rsid w:val="2FD64AA3"/>
    <w:rsid w:val="318C6892"/>
    <w:rsid w:val="31C730D0"/>
    <w:rsid w:val="329644B7"/>
    <w:rsid w:val="329D3C6D"/>
    <w:rsid w:val="3385130E"/>
    <w:rsid w:val="33876F59"/>
    <w:rsid w:val="33A1609F"/>
    <w:rsid w:val="344A10D3"/>
    <w:rsid w:val="34A9751A"/>
    <w:rsid w:val="359F62C2"/>
    <w:rsid w:val="35ED5B23"/>
    <w:rsid w:val="36405B60"/>
    <w:rsid w:val="373D64D0"/>
    <w:rsid w:val="3815078B"/>
    <w:rsid w:val="38383A01"/>
    <w:rsid w:val="38CF183A"/>
    <w:rsid w:val="38FE51B4"/>
    <w:rsid w:val="397178FA"/>
    <w:rsid w:val="39955998"/>
    <w:rsid w:val="39FC0673"/>
    <w:rsid w:val="3A38101B"/>
    <w:rsid w:val="3AE63FEC"/>
    <w:rsid w:val="3C0900B0"/>
    <w:rsid w:val="3D532D81"/>
    <w:rsid w:val="3F60143E"/>
    <w:rsid w:val="3FAE6975"/>
    <w:rsid w:val="407A652F"/>
    <w:rsid w:val="40B21499"/>
    <w:rsid w:val="40B2765E"/>
    <w:rsid w:val="41087F4C"/>
    <w:rsid w:val="410B6278"/>
    <w:rsid w:val="41CD7C2F"/>
    <w:rsid w:val="428A36DB"/>
    <w:rsid w:val="430663C7"/>
    <w:rsid w:val="435B05CB"/>
    <w:rsid w:val="439F2E20"/>
    <w:rsid w:val="43A430FC"/>
    <w:rsid w:val="44FF4D0A"/>
    <w:rsid w:val="454E77FD"/>
    <w:rsid w:val="45DA5E32"/>
    <w:rsid w:val="47725122"/>
    <w:rsid w:val="4AB61896"/>
    <w:rsid w:val="4AC960E9"/>
    <w:rsid w:val="4B176E60"/>
    <w:rsid w:val="4DA92E7D"/>
    <w:rsid w:val="4F195D65"/>
    <w:rsid w:val="4F4431C4"/>
    <w:rsid w:val="52255408"/>
    <w:rsid w:val="53571797"/>
    <w:rsid w:val="536B32C8"/>
    <w:rsid w:val="53FA3F6A"/>
    <w:rsid w:val="55841026"/>
    <w:rsid w:val="56194D22"/>
    <w:rsid w:val="56542392"/>
    <w:rsid w:val="56980894"/>
    <w:rsid w:val="57216FFD"/>
    <w:rsid w:val="573F325B"/>
    <w:rsid w:val="5876176D"/>
    <w:rsid w:val="59836FEA"/>
    <w:rsid w:val="5A373066"/>
    <w:rsid w:val="5B0A397C"/>
    <w:rsid w:val="5B2814B3"/>
    <w:rsid w:val="5B442F0B"/>
    <w:rsid w:val="5D5C103F"/>
    <w:rsid w:val="5E2B5974"/>
    <w:rsid w:val="5ED523B2"/>
    <w:rsid w:val="5F5539B0"/>
    <w:rsid w:val="5FCE0B35"/>
    <w:rsid w:val="608B206F"/>
    <w:rsid w:val="61992BD5"/>
    <w:rsid w:val="61DE7C53"/>
    <w:rsid w:val="621B4795"/>
    <w:rsid w:val="62FD636A"/>
    <w:rsid w:val="643577E5"/>
    <w:rsid w:val="6492183F"/>
    <w:rsid w:val="652A555E"/>
    <w:rsid w:val="67E1581F"/>
    <w:rsid w:val="68382FAC"/>
    <w:rsid w:val="68CE3585"/>
    <w:rsid w:val="68F84024"/>
    <w:rsid w:val="69382960"/>
    <w:rsid w:val="693E42E8"/>
    <w:rsid w:val="6A195628"/>
    <w:rsid w:val="6A3127B1"/>
    <w:rsid w:val="6DE16F6F"/>
    <w:rsid w:val="6E742D1B"/>
    <w:rsid w:val="6F9A007C"/>
    <w:rsid w:val="6FEC5B83"/>
    <w:rsid w:val="7059084A"/>
    <w:rsid w:val="70851248"/>
    <w:rsid w:val="710A6379"/>
    <w:rsid w:val="71B16805"/>
    <w:rsid w:val="71B1697B"/>
    <w:rsid w:val="72390199"/>
    <w:rsid w:val="73E45277"/>
    <w:rsid w:val="74EE65E1"/>
    <w:rsid w:val="76B316FC"/>
    <w:rsid w:val="777C610E"/>
    <w:rsid w:val="77940436"/>
    <w:rsid w:val="78223D82"/>
    <w:rsid w:val="782B7E32"/>
    <w:rsid w:val="794B0F6A"/>
    <w:rsid w:val="79907B22"/>
    <w:rsid w:val="799E38BC"/>
    <w:rsid w:val="79E307FC"/>
    <w:rsid w:val="7ABD481D"/>
    <w:rsid w:val="7AE126FD"/>
    <w:rsid w:val="7D0A50D1"/>
    <w:rsid w:val="7E282000"/>
    <w:rsid w:val="7E313B95"/>
    <w:rsid w:val="7F04479F"/>
    <w:rsid w:val="7F754C94"/>
    <w:rsid w:val="7F9F5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nhideWhenUsed="0" w:uiPriority="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link w:val="26"/>
    <w:autoRedefine/>
    <w:qFormat/>
    <w:uiPriority w:val="0"/>
    <w:pPr>
      <w:keepNext/>
      <w:keepLines/>
      <w:spacing w:before="340" w:after="330" w:line="576" w:lineRule="auto"/>
      <w:outlineLvl w:val="0"/>
    </w:pPr>
    <w:rPr>
      <w:b/>
      <w:bCs/>
      <w:kern w:val="44"/>
      <w:sz w:val="44"/>
      <w:szCs w:val="44"/>
    </w:rPr>
  </w:style>
  <w:style w:type="paragraph" w:styleId="4">
    <w:name w:val="heading 2"/>
    <w:basedOn w:val="1"/>
    <w:next w:val="1"/>
    <w:autoRedefine/>
    <w:qFormat/>
    <w:uiPriority w:val="9"/>
    <w:pPr>
      <w:keepNext/>
      <w:keepLines/>
      <w:spacing w:before="260" w:after="260" w:line="415" w:lineRule="auto"/>
      <w:outlineLvl w:val="1"/>
    </w:pPr>
    <w:rPr>
      <w:rFonts w:ascii="Arial" w:hAnsi="Arial" w:eastAsia="黑体"/>
      <w:b/>
      <w:bCs/>
      <w:kern w:val="0"/>
      <w:sz w:val="32"/>
      <w:szCs w:val="32"/>
    </w:rPr>
  </w:style>
  <w:style w:type="paragraph" w:styleId="5">
    <w:name w:val="heading 3"/>
    <w:basedOn w:val="1"/>
    <w:next w:val="1"/>
    <w:link w:val="27"/>
    <w:autoRedefine/>
    <w:qFormat/>
    <w:uiPriority w:val="9"/>
    <w:pPr>
      <w:keepNext/>
      <w:keepLines/>
      <w:spacing w:before="260" w:after="260" w:line="416" w:lineRule="auto"/>
      <w:outlineLvl w:val="2"/>
    </w:pPr>
    <w:rPr>
      <w:b/>
      <w:bCs/>
      <w:sz w:val="32"/>
      <w:szCs w:val="32"/>
    </w:rPr>
  </w:style>
  <w:style w:type="character" w:default="1" w:styleId="16">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1"/>
    <w:autoRedefine/>
    <w:unhideWhenUsed/>
    <w:qFormat/>
    <w:uiPriority w:val="0"/>
    <w:rPr>
      <w:rFonts w:ascii="宋体" w:hAnsi="Courier New"/>
      <w:kern w:val="0"/>
      <w:sz w:val="20"/>
      <w:szCs w:val="21"/>
    </w:rPr>
  </w:style>
  <w:style w:type="paragraph" w:styleId="6">
    <w:name w:val="Normal Indent"/>
    <w:basedOn w:val="1"/>
    <w:autoRedefine/>
    <w:unhideWhenUsed/>
    <w:qFormat/>
    <w:uiPriority w:val="0"/>
    <w:pPr>
      <w:ind w:firstLine="420"/>
    </w:pPr>
    <w:rPr>
      <w:rFonts w:ascii="Calibri" w:hAnsi="Calibri"/>
    </w:rPr>
  </w:style>
  <w:style w:type="paragraph" w:styleId="7">
    <w:name w:val="annotation text"/>
    <w:basedOn w:val="1"/>
    <w:link w:val="28"/>
    <w:autoRedefine/>
    <w:semiHidden/>
    <w:qFormat/>
    <w:uiPriority w:val="0"/>
    <w:pPr>
      <w:jc w:val="left"/>
    </w:pPr>
  </w:style>
  <w:style w:type="paragraph" w:styleId="8">
    <w:name w:val="Body Text"/>
    <w:basedOn w:val="1"/>
    <w:link w:val="29"/>
    <w:autoRedefine/>
    <w:qFormat/>
    <w:uiPriority w:val="0"/>
    <w:pPr>
      <w:spacing w:after="120"/>
    </w:pPr>
    <w:rPr>
      <w:kern w:val="0"/>
      <w:sz w:val="20"/>
      <w:szCs w:val="24"/>
    </w:rPr>
  </w:style>
  <w:style w:type="paragraph" w:styleId="9">
    <w:name w:val="Balloon Text"/>
    <w:basedOn w:val="1"/>
    <w:link w:val="30"/>
    <w:autoRedefine/>
    <w:unhideWhenUsed/>
    <w:qFormat/>
    <w:uiPriority w:val="99"/>
    <w:rPr>
      <w:sz w:val="18"/>
      <w:szCs w:val="18"/>
    </w:rPr>
  </w:style>
  <w:style w:type="paragraph" w:styleId="10">
    <w:name w:val="footer"/>
    <w:basedOn w:val="1"/>
    <w:link w:val="31"/>
    <w:autoRedefine/>
    <w:unhideWhenUsed/>
    <w:qFormat/>
    <w:uiPriority w:val="0"/>
    <w:pPr>
      <w:tabs>
        <w:tab w:val="center" w:pos="4153"/>
        <w:tab w:val="right" w:pos="8306"/>
      </w:tabs>
      <w:snapToGrid w:val="0"/>
      <w:jc w:val="left"/>
    </w:pPr>
    <w:rPr>
      <w:kern w:val="0"/>
      <w:sz w:val="18"/>
      <w:szCs w:val="18"/>
    </w:rPr>
  </w:style>
  <w:style w:type="paragraph" w:styleId="11">
    <w:name w:val="header"/>
    <w:basedOn w:val="1"/>
    <w:link w:val="32"/>
    <w:autoRedefine/>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2">
    <w:name w:val="Normal (Web)"/>
    <w:basedOn w:val="1"/>
    <w:autoRedefine/>
    <w:qFormat/>
    <w:uiPriority w:val="0"/>
    <w:rPr>
      <w:sz w:val="24"/>
    </w:rPr>
  </w:style>
  <w:style w:type="paragraph" w:styleId="13">
    <w:name w:val="annotation subject"/>
    <w:basedOn w:val="7"/>
    <w:next w:val="7"/>
    <w:link w:val="33"/>
    <w:autoRedefine/>
    <w:unhideWhenUsed/>
    <w:qFormat/>
    <w:uiPriority w:val="99"/>
    <w:rPr>
      <w:b/>
      <w:bCs/>
    </w:rPr>
  </w:style>
  <w:style w:type="paragraph" w:styleId="14">
    <w:name w:val="Body Text First Indent"/>
    <w:basedOn w:val="1"/>
    <w:link w:val="34"/>
    <w:autoRedefine/>
    <w:qFormat/>
    <w:uiPriority w:val="0"/>
    <w:pPr>
      <w:spacing w:line="312" w:lineRule="auto"/>
      <w:ind w:firstLine="420"/>
    </w:pPr>
    <w:rPr>
      <w:kern w:val="0"/>
      <w:sz w:val="20"/>
      <w:szCs w:val="20"/>
    </w:rPr>
  </w:style>
  <w:style w:type="character" w:styleId="17">
    <w:name w:val="Strong"/>
    <w:basedOn w:val="16"/>
    <w:autoRedefine/>
    <w:qFormat/>
    <w:uiPriority w:val="22"/>
    <w:rPr>
      <w:b/>
      <w:bCs/>
    </w:rPr>
  </w:style>
  <w:style w:type="character" w:styleId="18">
    <w:name w:val="page number"/>
    <w:autoRedefine/>
    <w:qFormat/>
    <w:uiPriority w:val="0"/>
  </w:style>
  <w:style w:type="character" w:styleId="19">
    <w:name w:val="FollowedHyperlink"/>
    <w:basedOn w:val="16"/>
    <w:autoRedefine/>
    <w:semiHidden/>
    <w:unhideWhenUsed/>
    <w:qFormat/>
    <w:uiPriority w:val="99"/>
    <w:rPr>
      <w:rFonts w:ascii="微软雅黑" w:hAnsi="微软雅黑" w:eastAsia="微软雅黑" w:cs="微软雅黑"/>
      <w:color w:val="337AB7"/>
      <w:u w:val="none"/>
    </w:rPr>
  </w:style>
  <w:style w:type="character" w:styleId="20">
    <w:name w:val="HTML Definition"/>
    <w:basedOn w:val="16"/>
    <w:autoRedefine/>
    <w:semiHidden/>
    <w:unhideWhenUsed/>
    <w:qFormat/>
    <w:uiPriority w:val="99"/>
    <w:rPr>
      <w:i/>
      <w:iCs/>
    </w:rPr>
  </w:style>
  <w:style w:type="character" w:styleId="21">
    <w:name w:val="Hyperlink"/>
    <w:autoRedefine/>
    <w:unhideWhenUsed/>
    <w:qFormat/>
    <w:uiPriority w:val="99"/>
    <w:rPr>
      <w:color w:val="000000"/>
      <w:u w:val="none"/>
    </w:rPr>
  </w:style>
  <w:style w:type="character" w:styleId="22">
    <w:name w:val="HTML Code"/>
    <w:basedOn w:val="16"/>
    <w:autoRedefine/>
    <w:semiHidden/>
    <w:unhideWhenUsed/>
    <w:qFormat/>
    <w:uiPriority w:val="99"/>
    <w:rPr>
      <w:rFonts w:hint="default" w:ascii="Consolas" w:hAnsi="Consolas" w:eastAsia="Consolas" w:cs="Consolas"/>
      <w:color w:val="C7254E"/>
      <w:sz w:val="21"/>
      <w:szCs w:val="21"/>
      <w:bdr w:val="single" w:color="E1E1E1" w:sz="6" w:space="0"/>
      <w:shd w:val="clear" w:fill="F9F2F4"/>
    </w:rPr>
  </w:style>
  <w:style w:type="character" w:styleId="23">
    <w:name w:val="annotation reference"/>
    <w:autoRedefine/>
    <w:unhideWhenUsed/>
    <w:qFormat/>
    <w:uiPriority w:val="99"/>
    <w:rPr>
      <w:sz w:val="21"/>
      <w:szCs w:val="21"/>
    </w:rPr>
  </w:style>
  <w:style w:type="character" w:styleId="24">
    <w:name w:val="HTML Keyboard"/>
    <w:basedOn w:val="16"/>
    <w:autoRedefine/>
    <w:semiHidden/>
    <w:unhideWhenUsed/>
    <w:qFormat/>
    <w:uiPriority w:val="99"/>
    <w:rPr>
      <w:rFonts w:hint="default" w:ascii="Consolas" w:hAnsi="Consolas" w:eastAsia="Consolas" w:cs="Consolas"/>
      <w:color w:val="FFFFFF"/>
      <w:sz w:val="21"/>
      <w:szCs w:val="21"/>
      <w:shd w:val="clear" w:fill="333333"/>
    </w:rPr>
  </w:style>
  <w:style w:type="character" w:styleId="25">
    <w:name w:val="HTML Sample"/>
    <w:basedOn w:val="16"/>
    <w:autoRedefine/>
    <w:semiHidden/>
    <w:unhideWhenUsed/>
    <w:qFormat/>
    <w:uiPriority w:val="99"/>
    <w:rPr>
      <w:rFonts w:ascii="Consolas" w:hAnsi="Consolas" w:eastAsia="Consolas" w:cs="Consolas"/>
      <w:sz w:val="21"/>
      <w:szCs w:val="21"/>
    </w:rPr>
  </w:style>
  <w:style w:type="character" w:customStyle="1" w:styleId="26">
    <w:name w:val="标题 1 字符1"/>
    <w:link w:val="3"/>
    <w:autoRedefine/>
    <w:qFormat/>
    <w:uiPriority w:val="0"/>
    <w:rPr>
      <w:rFonts w:ascii="Times New Roman" w:hAnsi="Times New Roman" w:eastAsia="宋体" w:cs="Times New Roman"/>
      <w:b/>
      <w:bCs/>
      <w:kern w:val="44"/>
      <w:sz w:val="44"/>
      <w:szCs w:val="44"/>
    </w:rPr>
  </w:style>
  <w:style w:type="character" w:customStyle="1" w:styleId="27">
    <w:name w:val="标题 3 字符"/>
    <w:link w:val="5"/>
    <w:autoRedefine/>
    <w:semiHidden/>
    <w:qFormat/>
    <w:uiPriority w:val="9"/>
    <w:rPr>
      <w:b/>
      <w:bCs/>
      <w:kern w:val="2"/>
      <w:sz w:val="32"/>
      <w:szCs w:val="32"/>
    </w:rPr>
  </w:style>
  <w:style w:type="character" w:customStyle="1" w:styleId="28">
    <w:name w:val="批注文字 字符"/>
    <w:link w:val="7"/>
    <w:autoRedefine/>
    <w:semiHidden/>
    <w:qFormat/>
    <w:uiPriority w:val="0"/>
    <w:rPr>
      <w:kern w:val="2"/>
      <w:sz w:val="21"/>
      <w:szCs w:val="22"/>
    </w:rPr>
  </w:style>
  <w:style w:type="character" w:customStyle="1" w:styleId="29">
    <w:name w:val="正文文本 字符1"/>
    <w:link w:val="8"/>
    <w:autoRedefine/>
    <w:qFormat/>
    <w:uiPriority w:val="0"/>
    <w:rPr>
      <w:rFonts w:eastAsia="宋体"/>
      <w:szCs w:val="24"/>
    </w:rPr>
  </w:style>
  <w:style w:type="character" w:customStyle="1" w:styleId="30">
    <w:name w:val="批注框文本 字符"/>
    <w:link w:val="9"/>
    <w:autoRedefine/>
    <w:semiHidden/>
    <w:qFormat/>
    <w:uiPriority w:val="99"/>
    <w:rPr>
      <w:kern w:val="2"/>
      <w:sz w:val="18"/>
      <w:szCs w:val="18"/>
    </w:rPr>
  </w:style>
  <w:style w:type="character" w:customStyle="1" w:styleId="31">
    <w:name w:val="页脚 字符"/>
    <w:link w:val="10"/>
    <w:autoRedefine/>
    <w:qFormat/>
    <w:uiPriority w:val="0"/>
    <w:rPr>
      <w:rFonts w:ascii="Times New Roman" w:hAnsi="Times New Roman" w:eastAsia="宋体" w:cs="Times New Roman"/>
      <w:sz w:val="18"/>
      <w:szCs w:val="18"/>
    </w:rPr>
  </w:style>
  <w:style w:type="character" w:customStyle="1" w:styleId="32">
    <w:name w:val="页眉 字符"/>
    <w:link w:val="11"/>
    <w:autoRedefine/>
    <w:qFormat/>
    <w:uiPriority w:val="99"/>
    <w:rPr>
      <w:rFonts w:ascii="Times New Roman" w:hAnsi="Times New Roman" w:eastAsia="宋体" w:cs="Times New Roman"/>
      <w:sz w:val="18"/>
      <w:szCs w:val="18"/>
    </w:rPr>
  </w:style>
  <w:style w:type="character" w:customStyle="1" w:styleId="33">
    <w:name w:val="批注主题 字符"/>
    <w:link w:val="13"/>
    <w:autoRedefine/>
    <w:semiHidden/>
    <w:qFormat/>
    <w:uiPriority w:val="99"/>
    <w:rPr>
      <w:b/>
      <w:bCs/>
      <w:kern w:val="2"/>
      <w:sz w:val="21"/>
      <w:szCs w:val="22"/>
    </w:rPr>
  </w:style>
  <w:style w:type="character" w:customStyle="1" w:styleId="34">
    <w:name w:val="正文文本首行缩进 字符"/>
    <w:link w:val="14"/>
    <w:autoRedefine/>
    <w:qFormat/>
    <w:uiPriority w:val="0"/>
    <w:rPr>
      <w:rFonts w:eastAsia="宋体"/>
    </w:rPr>
  </w:style>
  <w:style w:type="character" w:customStyle="1" w:styleId="35">
    <w:name w:val="标题 1 字符"/>
    <w:autoRedefine/>
    <w:qFormat/>
    <w:uiPriority w:val="9"/>
    <w:rPr>
      <w:rFonts w:ascii="Times New Roman" w:hAnsi="Times New Roman" w:eastAsia="宋体" w:cs="Times New Roman"/>
      <w:b/>
      <w:bCs/>
      <w:kern w:val="44"/>
      <w:sz w:val="44"/>
      <w:szCs w:val="44"/>
    </w:rPr>
  </w:style>
  <w:style w:type="character" w:customStyle="1" w:styleId="36">
    <w:name w:val="正文文本首行缩进 字符1"/>
    <w:autoRedefine/>
    <w:semiHidden/>
    <w:qFormat/>
    <w:uiPriority w:val="99"/>
  </w:style>
  <w:style w:type="character" w:customStyle="1" w:styleId="37">
    <w:name w:val="正文文本 字符"/>
    <w:autoRedefine/>
    <w:semiHidden/>
    <w:qFormat/>
    <w:uiPriority w:val="99"/>
    <w:rPr>
      <w:rFonts w:ascii="Times New Roman" w:hAnsi="Times New Roman" w:eastAsia="宋体" w:cs="Times New Roman"/>
    </w:rPr>
  </w:style>
  <w:style w:type="paragraph" w:customStyle="1" w:styleId="38">
    <w:name w:val="样式 宋体 行距: 1.5 倍行距"/>
    <w:basedOn w:val="1"/>
    <w:autoRedefine/>
    <w:qFormat/>
    <w:uiPriority w:val="0"/>
    <w:pPr>
      <w:jc w:val="center"/>
    </w:pPr>
    <w:rPr>
      <w:b/>
      <w:bCs/>
      <w:szCs w:val="24"/>
    </w:rPr>
  </w:style>
  <w:style w:type="paragraph" w:customStyle="1" w:styleId="39">
    <w:name w:val="公文标题"/>
    <w:basedOn w:val="5"/>
    <w:next w:val="1"/>
    <w:autoRedefine/>
    <w:qFormat/>
    <w:uiPriority w:val="0"/>
    <w:pPr>
      <w:spacing w:line="240" w:lineRule="auto"/>
      <w:ind w:left="1469" w:right="1542"/>
      <w:jc w:val="center"/>
    </w:pPr>
    <w:rPr>
      <w:bCs w:val="0"/>
      <w:sz w:val="44"/>
      <w:szCs w:val="24"/>
    </w:rPr>
  </w:style>
  <w:style w:type="paragraph" w:customStyle="1" w:styleId="40">
    <w:name w:val="发文落款"/>
    <w:basedOn w:val="41"/>
    <w:autoRedefine/>
    <w:qFormat/>
    <w:uiPriority w:val="0"/>
    <w:pPr>
      <w:ind w:left="4094" w:right="607" w:firstLine="0"/>
      <w:jc w:val="center"/>
    </w:pPr>
  </w:style>
  <w:style w:type="paragraph" w:customStyle="1" w:styleId="41">
    <w:name w:val="公文正文"/>
    <w:autoRedefine/>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42">
    <w:name w:val="Default"/>
    <w:autoRedefine/>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43">
    <w:name w:val="_Style 3"/>
    <w:autoRedefine/>
    <w:qFormat/>
    <w:uiPriority w:val="0"/>
    <w:pPr>
      <w:widowControl w:val="0"/>
      <w:ind w:firstLine="420" w:firstLineChars="200"/>
      <w:jc w:val="both"/>
    </w:pPr>
    <w:rPr>
      <w:rFonts w:ascii="Calibri" w:hAnsi="Calibri" w:eastAsia="宋体" w:cs="Times New Roman"/>
      <w:kern w:val="2"/>
      <w:szCs w:val="24"/>
      <w:lang w:val="en-US" w:eastAsia="zh-CN" w:bidi="ar-SA"/>
    </w:rPr>
  </w:style>
  <w:style w:type="paragraph" w:customStyle="1" w:styleId="44">
    <w:name w:val="Revision"/>
    <w:autoRedefine/>
    <w:hidden/>
    <w:semiHidden/>
    <w:qFormat/>
    <w:uiPriority w:val="99"/>
    <w:rPr>
      <w:rFonts w:ascii="Times New Roman" w:hAnsi="Times New Roman" w:eastAsia="宋体" w:cs="Times New Roman"/>
      <w:kern w:val="2"/>
      <w:sz w:val="21"/>
      <w:szCs w:val="22"/>
      <w:lang w:val="en-US" w:eastAsia="zh-CN" w:bidi="ar-SA"/>
    </w:rPr>
  </w:style>
  <w:style w:type="character" w:customStyle="1" w:styleId="45">
    <w:name w:val="title24"/>
    <w:basedOn w:val="16"/>
    <w:autoRedefine/>
    <w:qFormat/>
    <w:uiPriority w:val="0"/>
  </w:style>
  <w:style w:type="character" w:customStyle="1" w:styleId="46">
    <w:name w:val="username"/>
    <w:basedOn w:val="16"/>
    <w:autoRedefine/>
    <w:qFormat/>
    <w:uiPriority w:val="0"/>
  </w:style>
  <w:style w:type="character" w:customStyle="1" w:styleId="47">
    <w:name w:val="title2"/>
    <w:basedOn w:val="16"/>
    <w:autoRedefine/>
    <w:qFormat/>
    <w:uiPriority w:val="0"/>
  </w:style>
  <w:style w:type="character" w:customStyle="1" w:styleId="48">
    <w:name w:val="title26"/>
    <w:basedOn w:val="16"/>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2532</Words>
  <Characters>2705</Characters>
  <Lines>27</Lines>
  <Paragraphs>7</Paragraphs>
  <TotalTime>1</TotalTime>
  <ScaleCrop>false</ScaleCrop>
  <LinksUpToDate>false</LinksUpToDate>
  <CharactersWithSpaces>2861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2022-01-17T11:37:00Z</dcterms:created>
  <dc:creator>Roy.Li</dc:creator>
  <cp:lastModifiedBy>  mani</cp:lastModifiedBy>
  <cp:lastPrinted>2020-09-08T02:42:00Z</cp:lastPrinted>
  <dcterms:modified xsi:type="dcterms:W3CDTF">2024-01-10T07:38:19Z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87DA41B01803443E90B37DA54A39CB4E_13</vt:lpwstr>
  </property>
</Properties>
</file>